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line="240" w:lineRule="auto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line="240" w:lineRule="auto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POTENCIAR LAS HABILIDADES DOCENTES: </w:t>
      </w:r>
      <w:r w:rsidDel="00000000" w:rsidR="00000000" w:rsidRPr="00000000">
        <w:rPr>
          <w:rFonts w:ascii="Arial" w:cs="Arial" w:eastAsia="Arial" w:hAnsi="Arial"/>
          <w:b w:val="1"/>
          <w:color w:val="000000"/>
          <w:sz w:val="24"/>
          <w:szCs w:val="24"/>
          <w:rtl w:val="0"/>
        </w:rPr>
        <w:t xml:space="preserve">FUNDACIÓN TELEFÓNICA MOVISTAR LANZA UNA NUEVA EDICIÓN DE CURSOS DE CAPACITACIÓN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240" w:line="240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programa educativo ProFuturo de Formación Docente es una propuesta anual, virtual y gratuita para acompañar el desarrollo y la actualización profesional docente.</w:t>
      </w:r>
    </w:p>
    <w:p w:rsidR="00000000" w:rsidDel="00000000" w:rsidP="00000000" w:rsidRDefault="00000000" w:rsidRPr="00000000" w14:paraId="00000004">
      <w:pP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br w:type="textWrapping"/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Buenos Aires, 05 de mayo de 2023.-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Fundación Telefónica Movistar </w:t>
      </w:r>
      <w:r w:rsidDel="00000000" w:rsidR="00000000" w:rsidRPr="00000000">
        <w:rPr>
          <w:rFonts w:ascii="Arial" w:cs="Arial" w:eastAsia="Arial" w:hAnsi="Arial"/>
          <w:rtl w:val="0"/>
        </w:rPr>
        <w:t xml:space="preserve">inicia un nuevo ciclo lectivo d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el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programa educativo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ProFuturo de 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Educación Digital para docentes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, una propuesta anual,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 online y gratuita.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Arial" w:cs="Arial" w:eastAsia="Arial" w:hAnsi="Arial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Tras su última edición, que contó con la participación de</w:t>
      </w: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10.800 educadores de todo el país</w:t>
      </w:r>
      <w:r w:rsidDel="00000000" w:rsidR="00000000" w:rsidRPr="00000000">
        <w:rPr>
          <w:rFonts w:ascii="Arial" w:cs="Arial" w:eastAsia="Arial" w:hAnsi="Arial"/>
          <w:rtl w:val="0"/>
        </w:rPr>
        <w:t xml:space="preserve">, esta iniciativa apunta a fortalecer el desarrollo profesional docente y comprende seis “Escuelas de Conocimiento” agrupadas con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11 cursos</w:t>
      </w:r>
      <w:r w:rsidDel="00000000" w:rsidR="00000000" w:rsidRPr="00000000">
        <w:rPr>
          <w:rFonts w:ascii="Arial" w:cs="Arial" w:eastAsia="Arial" w:hAnsi="Arial"/>
          <w:rtl w:val="0"/>
        </w:rPr>
        <w:t xml:space="preserve">, en función de las áreas temáticas y las competencias que, docentes, alumnos y alumnas, p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ueden desarrollar.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Arial" w:cs="Arial" w:eastAsia="Arial" w:hAnsi="Arial"/>
          <w:b w:val="1"/>
          <w:color w:val="000000"/>
          <w:highlight w:val="white"/>
        </w:rPr>
      </w:pP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Las Escuelas abordan las temáticas de: ciudadanía; competencia digital; innovación; alfabetizaciones múltiples; matemática; pensamiento computacional e inteligencia artificial, y se puede optar por el curso que mejor se adapte a los intereses educativos de cada persona. Según el elegido, pueden llegar a tener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una duración de entre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5 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y 40 horas, son 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gratuitos, online y autoasistidos. </w:t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Arial" w:cs="Arial" w:eastAsia="Arial" w:hAnsi="Arial"/>
          <w:b w:val="1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De esta manera, Fundación Telefónica Movistar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continúa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con 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su compromiso</w:t>
      </w:r>
      <w:r w:rsidDel="00000000" w:rsidR="00000000" w:rsidRPr="00000000">
        <w:rPr>
          <w:rFonts w:ascii="Arial" w:cs="Arial" w:eastAsia="Arial" w:hAnsi="Arial"/>
          <w:color w:val="000000"/>
          <w:highlight w:val="white"/>
          <w:rtl w:val="0"/>
        </w:rPr>
        <w:t xml:space="preserve"> con la educación a través de la tecnología y la innovación como motores de la transformación social.</w:t>
      </w:r>
      <w:r w:rsidDel="00000000" w:rsidR="00000000" w:rsidRPr="00000000">
        <w:rPr>
          <w:rFonts w:ascii="Arial" w:cs="Arial" w:eastAsia="Arial" w:hAnsi="Arial"/>
          <w:b w:val="1"/>
          <w:color w:val="000000"/>
          <w:highlight w:val="white"/>
          <w:rtl w:val="0"/>
        </w:rPr>
        <w:t xml:space="preserve"> </w:t>
      </w:r>
      <w:r w:rsidDel="00000000" w:rsidR="00000000" w:rsidRPr="00000000">
        <w:rPr>
          <w:rFonts w:ascii="Arial" w:cs="Arial" w:eastAsia="Arial" w:hAnsi="Arial"/>
          <w:b w:val="1"/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b w:val="1"/>
          <w:highlight w:val="white"/>
          <w:rtl w:val="0"/>
        </w:rPr>
        <w:t xml:space="preserve">Gustavo Blanco, gerente de la Fundación Telefónica Movistar</w:t>
      </w:r>
      <w:r w:rsidDel="00000000" w:rsidR="00000000" w:rsidRPr="00000000">
        <w:rPr>
          <w:rFonts w:ascii="Arial" w:cs="Arial" w:eastAsia="Arial" w:hAnsi="Arial"/>
          <w:highlight w:val="white"/>
          <w:rtl w:val="0"/>
        </w:rPr>
        <w:t xml:space="preserve"> manifestó </w:t>
      </w:r>
      <w:r w:rsidDel="00000000" w:rsidR="00000000" w:rsidRPr="00000000">
        <w:rPr>
          <w:rFonts w:ascii="Arial" w:cs="Arial" w:eastAsia="Arial" w:hAnsi="Arial"/>
          <w:i w:val="1"/>
          <w:highlight w:val="white"/>
          <w:rtl w:val="0"/>
        </w:rPr>
        <w:t xml:space="preserve">“La realidad digital que está experimentando nuestra sociedad, impacta fuertemente en la educación e implica una necesidad de anticipación en la incorporación de la tecnología en las aulas y el desarrollo de nuevas competencias, tanto en docentes, como en alumnos. Como impulsores de la innovación y cultura digital, desde Fundación Telefónica Movistar nos entusiasma poder acompañar a los docentes en su capacitación profesional y en la adquisición de herramientas que les permitan implementar nuevas modalidades de enseñanza”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Arial" w:cs="Arial" w:eastAsia="Arial" w:hAnsi="Arial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Arial" w:cs="Arial" w:eastAsia="Arial" w:hAnsi="Arial"/>
          <w:b w:val="1"/>
          <w:color w:val="1a1a1a"/>
        </w:rPr>
      </w:pPr>
      <w:r w:rsidDel="00000000" w:rsidR="00000000" w:rsidRPr="00000000">
        <w:rPr>
          <w:rFonts w:ascii="Arial" w:cs="Arial" w:eastAsia="Arial" w:hAnsi="Arial"/>
          <w:b w:val="1"/>
          <w:color w:val="1a1a1a"/>
          <w:rtl w:val="0"/>
        </w:rPr>
        <w:t xml:space="preserve">¿Qué hay que hacer para participar?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0" w:line="276" w:lineRule="auto"/>
        <w:rPr>
          <w:rFonts w:ascii="Arial" w:cs="Arial" w:eastAsia="Arial" w:hAnsi="Arial"/>
          <w:color w:val="1a1a1a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acceder a las Escuelas de Conocimiento es necesario registrarse en la plataforma Profuturo https://school.profuturo.education/ y crearte un usuario por única vez.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 muy importante completar correctamente cada uno de los campos obligatorios y aceptar las condiciones de uso. Luego de unos minutos recibirás en la casilla de email con la que te registraste un link para completar la inscripción y validar tu cuenta. (No dudes en revisar la carpeta SPAM en caso de no encontrarla).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Una vez que lográs ingresar, accedes al «Catálogo» donde podrás consultar toda la oferta formativa, podrás filtrar por Escuelas o buscar directamente el curso de tu interés. Una vez elegido el curso, haces clic en él y luego en «Inscribite» para comenzar.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2"/>
        </w:numPr>
        <w:shd w:fill="ffffff" w:val="clear"/>
        <w:spacing w:after="0" w:line="276" w:lineRule="auto"/>
        <w:ind w:left="720" w:hanging="360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Si tenés inconvenientes acerca del funcionamiento de la plataforma, dudas pedagógicas o querés compartir tu experiencia, escribí a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educacion.ar@telefonica.com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hd w:fill="ffffff" w:val="clear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both"/>
        <w:rPr>
          <w:rFonts w:ascii="Arial" w:cs="Arial" w:eastAsia="Arial" w:hAnsi="Arial"/>
          <w:color w:val="00000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Arial" w:cs="Arial" w:eastAsia="Arial" w:hAnsi="Arial"/>
          <w:color w:val="0000ff"/>
          <w:highlight w:val="white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más información, ingresar a </w:t>
      </w:r>
      <w:r w:rsidDel="00000000" w:rsidR="00000000" w:rsidRPr="00000000">
        <w:rPr>
          <w:rFonts w:ascii="Arial" w:cs="Arial" w:eastAsia="Arial" w:hAnsi="Arial"/>
          <w:color w:val="0000ff"/>
          <w:highlight w:val="white"/>
          <w:u w:val="single"/>
          <w:rtl w:val="0"/>
        </w:rPr>
        <w:t xml:space="preserve">fundaciontelefonica.com.ar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color w:val="000000"/>
        </w:rPr>
      </w:pPr>
      <w:bookmarkStart w:colFirst="0" w:colLast="0" w:name="_heading=h.30j0zll" w:id="0"/>
      <w:bookmarkEnd w:id="0"/>
      <w:r w:rsidDel="00000000" w:rsidR="00000000" w:rsidRPr="00000000">
        <w:rPr>
          <w:color w:val="000000"/>
          <w:rtl w:val="0"/>
        </w:rPr>
        <w:t xml:space="preserve">--</w:t>
      </w:r>
    </w:p>
    <w:p w:rsidR="00000000" w:rsidDel="00000000" w:rsidP="00000000" w:rsidRDefault="00000000" w:rsidRPr="00000000" w14:paraId="00000015">
      <w:pPr>
        <w:spacing w:after="280" w:before="280" w:line="240" w:lineRule="auto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Acerca de Fundación Telefónica Movistar</w:t>
      </w:r>
    </w:p>
    <w:p w:rsidR="00000000" w:rsidDel="00000000" w:rsidP="00000000" w:rsidRDefault="00000000" w:rsidRPr="00000000" w14:paraId="00000016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Fundación Telefónica Movistar es la entidad encargada de canalizar la acción social y cultural del Grupo Telefónica. Su misión es hacer nuestro mundo más humano impulsando un desarrollo digital inclusivo.</w:t>
      </w:r>
    </w:p>
    <w:p w:rsidR="00000000" w:rsidDel="00000000" w:rsidP="00000000" w:rsidRDefault="00000000" w:rsidRPr="00000000" w14:paraId="00000017">
      <w:pPr>
        <w:spacing w:after="280" w:before="280" w:line="240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rtl w:val="0"/>
        </w:rPr>
        <w:t xml:space="preserve">La Fundación trabaja desde tres líneas estratégicas: Empleabilidad (desarrollo de habilidades digitales y de emprendimiento en jóvenes, adolescentes y adultos, para acercarlos a las profesiones del futuro), Educación Digital (formación para docentes, estudiantes y padres de familia en apropiación y uso de las TIC, creatividad e innovación) y Voluntariado Corporativo (vincular a colaboradores (as) en actividades sociales). En los últimos dos años un total de 5.036.357 personas de todo el país participaron en los diferentes proyectos y acciones impulsadas por la Fundación.</w:t>
      </w:r>
    </w:p>
    <w:p w:rsidR="00000000" w:rsidDel="00000000" w:rsidP="00000000" w:rsidRDefault="00000000" w:rsidRPr="00000000" w14:paraId="00000018">
      <w:pPr>
        <w:spacing w:after="0" w:line="276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headerReference r:id="rId10" w:type="even"/>
      <w:footerReference r:id="rId11" w:type="default"/>
      <w:footerReference r:id="rId12" w:type="first"/>
      <w:footerReference r:id="rId13" w:type="even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spacing w:after="0" w:line="276" w:lineRule="auto"/>
      <w:rPr/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2031519" cy="976313"/>
          <wp:effectExtent b="0" l="0" r="0" t="0"/>
          <wp:docPr id="4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31519" cy="97631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NormalWeb">
    <w:name w:val="Normal (Web)"/>
    <w:basedOn w:val="Normal"/>
    <w:uiPriority w:val="99"/>
    <w:semiHidden w:val="1"/>
    <w:unhideWhenUsed w:val="1"/>
    <w:rsid w:val="000F16A5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vnculo">
    <w:name w:val="Hyperlink"/>
    <w:basedOn w:val="Fuentedeprrafopredeter"/>
    <w:uiPriority w:val="99"/>
    <w:unhideWhenUsed w:val="1"/>
    <w:rsid w:val="000F16A5"/>
    <w:rPr>
      <w:color w:val="0000ff"/>
      <w:u w:val="single"/>
    </w:rPr>
  </w:style>
  <w:style w:type="character" w:styleId="UnresolvedMention" w:customStyle="1">
    <w:name w:val="Unresolved Mention"/>
    <w:basedOn w:val="Fuentedeprrafopredeter"/>
    <w:uiPriority w:val="99"/>
    <w:semiHidden w:val="1"/>
    <w:unhideWhenUsed w:val="1"/>
    <w:rsid w:val="00CD28F8"/>
    <w:rPr>
      <w:color w:val="605e5c"/>
      <w:shd w:color="auto" w:fill="e1dfdd" w:val="clear"/>
    </w:rPr>
  </w:style>
  <w:style w:type="character" w:styleId="Textoennegrita">
    <w:name w:val="Strong"/>
    <w:basedOn w:val="Fuentedeprrafopredeter"/>
    <w:uiPriority w:val="22"/>
    <w:qFormat w:val="1"/>
    <w:rsid w:val="004C41A4"/>
    <w:rPr>
      <w:b w:val="1"/>
      <w:bCs w:val="1"/>
    </w:rPr>
  </w:style>
  <w:style w:type="paragraph" w:styleId="Sinespaciado">
    <w:name w:val="No Spacing"/>
    <w:uiPriority w:val="1"/>
    <w:qFormat w:val="1"/>
    <w:rsid w:val="004C41A4"/>
    <w:pPr>
      <w:spacing w:after="0" w:line="240" w:lineRule="auto"/>
    </w:pPr>
  </w:style>
  <w:style w:type="character" w:styleId="nfasis">
    <w:name w:val="Emphasis"/>
    <w:basedOn w:val="Fuentedeprrafopredeter"/>
    <w:uiPriority w:val="20"/>
    <w:qFormat w:val="1"/>
    <w:rsid w:val="00AB5C8D"/>
    <w:rPr>
      <w:i w:val="1"/>
      <w:iCs w:val="1"/>
    </w:rPr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7954AC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E7D2E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E7D2E"/>
    <w:rPr>
      <w:rFonts w:ascii="Segoe UI" w:cs="Segoe UI" w:hAnsi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5E7D2E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5E7D2E"/>
    <w:rPr>
      <w:b w:val="1"/>
      <w:bCs w:val="1"/>
      <w:sz w:val="20"/>
      <w:szCs w:val="20"/>
    </w:rPr>
  </w:style>
  <w:style w:type="paragraph" w:styleId="Encabezado">
    <w:name w:val="header"/>
    <w:basedOn w:val="Normal"/>
    <w:link w:val="EncabezadoCar"/>
    <w:uiPriority w:val="99"/>
    <w:unhideWhenUsed w:val="1"/>
    <w:rsid w:val="00693AFD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693AFD"/>
  </w:style>
  <w:style w:type="paragraph" w:styleId="Piedepgina">
    <w:name w:val="footer"/>
    <w:basedOn w:val="Normal"/>
    <w:link w:val="PiedepginaCar"/>
    <w:uiPriority w:val="99"/>
    <w:unhideWhenUsed w:val="1"/>
    <w:rsid w:val="00693AFD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693AFD"/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3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eader" Target="head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educacion.ar@telefonica.com" TargetMode="External"/><Relationship Id="rId8" Type="http://schemas.openxmlformats.org/officeDocument/2006/relationships/header" Target="header2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5/ax7+JSgVQD/+2iqn9cPDZKzfw==">AMUW2mUF5W6wdsQAQM71gqiXFZUERIEY/4SZFnuwXOlzQ0d1+Cv9JzQY3YyedPyV8ObFqWF/Xv7OaNe4txtPkUA2H4Win45QzJRP0+45//MkztR9ngCsiuZN0/mpYfD/R+/Do0j1vvRi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2023-03-28T19:28:00Z</dcterms:created>
  <dc:creator>María Cecilia Suárez</dc:creator>
</cp:coreProperties>
</file>