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rFonts w:ascii="Arial" w:hAnsi="Arial" w:eastAsia="Arial" w:cs="Arial"/>
        </w:rPr>
      </w:pPr>
      <w:r>
        <w:rPr>
          <w:rFonts w:eastAsia="Arial" w:cs="Arial" w:ascii="Arial" w:hAnsi="Arial"/>
        </w:rPr>
      </w:r>
    </w:p>
    <w:p>
      <w:pPr>
        <w:pStyle w:val="Normal1"/>
        <w:widowControl w:val="false"/>
        <w:spacing w:lineRule="auto" w:line="276" w:before="0" w:after="0"/>
        <w:rPr>
          <w:rFonts w:ascii="Arial" w:hAnsi="Arial" w:eastAsia="Arial" w:cs="Arial"/>
        </w:rPr>
      </w:pPr>
      <w:r>
        <w:rPr>
          <w:rFonts w:eastAsia="Arial" w:cs="Arial" w:ascii="Arial" w:hAnsi="Arial"/>
        </w:rPr>
      </w:r>
    </w:p>
    <w:p>
      <w:pPr>
        <w:pStyle w:val="Normal1"/>
        <w:jc w:val="center"/>
        <w:rPr>
          <w:rFonts w:ascii="Arial" w:hAnsi="Arial" w:eastAsia="Arial" w:cs="Arial"/>
          <w:b/>
          <w:b/>
          <w:sz w:val="26"/>
          <w:szCs w:val="26"/>
        </w:rPr>
      </w:pPr>
      <w:r>
        <w:rPr>
          <w:rFonts w:eastAsia="Arial" w:cs="Arial" w:ascii="Arial" w:hAnsi="Arial"/>
          <w:b/>
          <w:sz w:val="26"/>
          <w:szCs w:val="26"/>
        </w:rPr>
        <w:t>BUZONES TECNOLÓGICOS: TELEFÓNICA DARÁ UNA SEGUNDA VIDA A LOS DISPOSITIVOS TECNOLÓGICOS</w:t>
      </w:r>
    </w:p>
    <w:p>
      <w:pPr>
        <w:pStyle w:val="Normal1"/>
        <w:keepNext w:val="false"/>
        <w:keepLines w:val="false"/>
        <w:pageBreakBefore w:val="false"/>
        <w:widowControl/>
        <w:numPr>
          <w:ilvl w:val="0"/>
          <w:numId w:val="1"/>
        </w:numPr>
        <w:pBdr/>
        <w:shd w:val="clear" w:fill="FFFFFF"/>
        <w:spacing w:lineRule="auto" w:line="259" w:before="0" w:after="280"/>
        <w:ind w:left="720" w:right="0" w:hanging="360"/>
        <w:jc w:val="both"/>
        <w:rPr>
          <w:rFonts w:ascii="Arial" w:hAnsi="Arial" w:eastAsia="Arial" w:cs="Arial"/>
          <w:u w:val="none"/>
        </w:rPr>
      </w:pPr>
      <w:r>
        <w:rPr>
          <w:rFonts w:eastAsia="Arial" w:cs="Arial" w:ascii="Arial" w:hAnsi="Arial"/>
        </w:rPr>
        <w:t xml:space="preserve">Se trata de una alianza con RESTEC que colabora con la creación de una Economía Circular. </w:t>
      </w:r>
    </w:p>
    <w:p>
      <w:pPr>
        <w:pStyle w:val="Normal1"/>
        <w:keepNext w:val="false"/>
        <w:keepLines w:val="false"/>
        <w:pageBreakBefore w:val="false"/>
        <w:widowControl/>
        <w:numPr>
          <w:ilvl w:val="0"/>
          <w:numId w:val="1"/>
        </w:numPr>
        <w:pBdr/>
        <w:shd w:val="clear" w:fill="FFFFFF"/>
        <w:spacing w:lineRule="auto" w:line="259" w:before="0" w:after="280"/>
        <w:ind w:left="720" w:right="0" w:hanging="360"/>
        <w:jc w:val="both"/>
        <w:rPr>
          <w:rFonts w:ascii="Arial" w:hAnsi="Arial" w:eastAsia="Arial" w:cs="Arial"/>
          <w:u w:val="none"/>
        </w:rPr>
      </w:pPr>
      <w:r>
        <w:rPr>
          <w:rFonts w:eastAsia="Arial" w:cs="Arial" w:ascii="Arial" w:hAnsi="Arial"/>
        </w:rPr>
        <w:t>A través de esta iniciativa, los usuarios podrán depositar sus aparatos en desuso en buzones tecnológicos ubicados en los centros de atención al cliente de Telefónica y darles una revalorización.</w:t>
      </w:r>
    </w:p>
    <w:p>
      <w:pPr>
        <w:pStyle w:val="Normal1"/>
        <w:jc w:val="center"/>
        <w:rPr>
          <w:rFonts w:ascii="Arial" w:hAnsi="Arial" w:eastAsia="Arial" w:cs="Arial"/>
        </w:rPr>
      </w:pPr>
      <w:r>
        <w:rPr>
          <w:rFonts w:eastAsia="Arial" w:cs="Arial" w:ascii="Arial" w:hAnsi="Arial"/>
        </w:rPr>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rPr>
      </w:pPr>
      <w:r>
        <w:rPr>
          <w:rFonts w:eastAsia="Arial" w:cs="Arial" w:ascii="Arial" w:hAnsi="Arial"/>
          <w:b/>
        </w:rPr>
        <w:t xml:space="preserve">Buenos Aires, 05 de junio de 2023. – </w:t>
      </w:r>
      <w:r>
        <w:rPr>
          <w:rFonts w:eastAsia="Arial" w:cs="Arial" w:ascii="Arial" w:hAnsi="Arial"/>
        </w:rPr>
        <w:t>En el marco del Día Mundial del Medio Ambiente, fecha establecida por la Organización de las Naciones Unidas (ONU), Telefónica Movistar lanza una iniciativa para reducir el impacto ambiental a través del reciclaje de materiales provenientes de aparatos tecnológicos.</w:t>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rPr>
      </w:pPr>
      <w:r>
        <w:rPr>
          <w:rFonts w:eastAsia="Arial" w:cs="Arial" w:ascii="Arial" w:hAnsi="Arial"/>
        </w:rPr>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rPr>
      </w:pPr>
      <w:r>
        <w:rPr>
          <w:rFonts w:eastAsia="Arial" w:cs="Arial" w:ascii="Arial" w:hAnsi="Arial"/>
        </w:rPr>
        <w:t>La iniciativa se anunció en un evento encabezado por Antonella Tomic, responsable de Sostenibilidad en Telefónica y Eduardo Marty, director comercial de RESTEC Argentina. Mediante la alianza, la compañía de telefonía móvil instalará en los centros de atención al cliente buzones en los que los usuarios podrán depositar sus aparatos tecnológicos en desuso como celulares, tablets, cargadores, auriculares  u otros dispositivos portátiles.</w:t>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rPr>
      </w:pPr>
      <w:r>
        <w:rPr>
          <w:rFonts w:eastAsia="Arial" w:cs="Arial" w:ascii="Arial" w:hAnsi="Arial"/>
        </w:rPr>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rPr>
      </w:pPr>
      <w:r>
        <w:rPr>
          <w:rFonts w:eastAsia="Arial" w:cs="Arial" w:ascii="Arial" w:hAnsi="Arial"/>
        </w:rPr>
        <w:t>Al momento de explicar el propósito de la campaña Almendra Ogdon, gerente de</w:t>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i/>
          <w:i/>
        </w:rPr>
      </w:pPr>
      <w:r>
        <w:rPr>
          <w:rFonts w:eastAsia="Arial" w:cs="Arial" w:ascii="Arial" w:hAnsi="Arial"/>
        </w:rPr>
        <w:t xml:space="preserve">Publicidad y Marca de Telefónica Movistar explicó: </w:t>
      </w:r>
      <w:r>
        <w:rPr>
          <w:rFonts w:eastAsia="Arial" w:cs="Arial" w:ascii="Arial" w:hAnsi="Arial"/>
          <w:i/>
        </w:rPr>
        <w:t>“En la compañía tenemos un</w:t>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i/>
          <w:i/>
        </w:rPr>
      </w:pPr>
      <w:r>
        <w:rPr>
          <w:rFonts w:eastAsia="Arial" w:cs="Arial" w:ascii="Arial" w:hAnsi="Arial"/>
          <w:i/>
        </w:rPr>
        <w:t>compromiso con el uso responsable de la tecnología. Hace años que trabajamos en la</w:t>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i/>
          <w:i/>
        </w:rPr>
      </w:pPr>
      <w:r>
        <w:rPr>
          <w:rFonts w:eastAsia="Arial" w:cs="Arial" w:ascii="Arial" w:hAnsi="Arial"/>
          <w:i/>
        </w:rPr>
        <w:t>concientización sobre problemáticas como el ciberbullying, el grooming y todo tipo de</w:t>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i/>
          <w:i/>
        </w:rPr>
      </w:pPr>
      <w:r>
        <w:rPr>
          <w:rFonts w:eastAsia="Arial" w:cs="Arial" w:ascii="Arial" w:hAnsi="Arial"/>
          <w:i/>
        </w:rPr>
        <w:t>violencia digital, temáticas que se profundizan a medida que surgen nuevas formas de</w:t>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i/>
          <w:i/>
        </w:rPr>
      </w:pPr>
      <w:r>
        <w:rPr>
          <w:rFonts w:eastAsia="Arial" w:cs="Arial" w:ascii="Arial" w:hAnsi="Arial"/>
          <w:i/>
        </w:rPr>
        <w:t>conectarse. Este año, además, damos este importante paso en materia de</w:t>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i/>
          <w:i/>
        </w:rPr>
      </w:pPr>
      <w:r>
        <w:rPr>
          <w:rFonts w:eastAsia="Arial" w:cs="Arial" w:ascii="Arial" w:hAnsi="Arial"/>
          <w:i/>
        </w:rPr>
        <w:t>sustentabilidad, porque nos preocupa no solamente que las personas tengan el mejor</w:t>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i/>
          <w:i/>
        </w:rPr>
      </w:pPr>
      <w:r>
        <w:rPr>
          <w:rFonts w:eastAsia="Arial" w:cs="Arial" w:ascii="Arial" w:hAnsi="Arial"/>
          <w:i/>
        </w:rPr>
        <w:t>celular para sus necesidades, sino también entender qué ocurrirá con ese dispositivo</w:t>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i/>
          <w:i/>
        </w:rPr>
      </w:pPr>
      <w:r>
        <w:rPr>
          <w:rFonts w:eastAsia="Arial" w:cs="Arial" w:ascii="Arial" w:hAnsi="Arial"/>
          <w:i/>
        </w:rPr>
        <w:t>electrónico que ya no necesitan, y ofrecer las herramientas necesarias para reducir el</w:t>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i/>
          <w:i/>
        </w:rPr>
      </w:pPr>
      <w:r>
        <w:rPr>
          <w:rFonts w:eastAsia="Arial" w:cs="Arial" w:ascii="Arial" w:hAnsi="Arial"/>
          <w:i/>
        </w:rPr>
        <w:t>impacto medioambiental que podría generar”</w:t>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rPr>
      </w:pPr>
      <w:r>
        <w:rPr>
          <w:rFonts w:eastAsia="Arial" w:cs="Arial" w:ascii="Arial" w:hAnsi="Arial"/>
        </w:rPr>
      </w:r>
    </w:p>
    <w:p>
      <w:pPr>
        <w:pStyle w:val="Normal1"/>
        <w:shd w:val="clear" w:fill="FFFFFF"/>
        <w:spacing w:lineRule="auto" w:line="240" w:before="0" w:after="0"/>
        <w:jc w:val="both"/>
        <w:rPr>
          <w:rFonts w:ascii="Arial" w:hAnsi="Arial" w:eastAsia="Arial" w:cs="Arial"/>
        </w:rPr>
      </w:pPr>
      <w:r>
        <w:rPr>
          <w:rFonts w:eastAsia="Arial" w:cs="Arial" w:ascii="Arial" w:hAnsi="Arial"/>
        </w:rPr>
        <w:t>El material será retirado por una empresa de logística y entregada en el Centro Activo de Tratamiento (CAT), donde se le dará ingreso y traza de todo el circuito de gestión, incluyendo las fracciones que no se puedan insertar en la Economía Circular, que serán tratadas y transformadas en un nuevo recurso para devolverlo a los circuitos productivos.</w:t>
      </w:r>
    </w:p>
    <w:p>
      <w:pPr>
        <w:pStyle w:val="Normal1"/>
        <w:shd w:val="clear" w:fill="FFFFFF"/>
        <w:spacing w:lineRule="auto" w:line="240" w:before="0" w:after="0"/>
        <w:jc w:val="both"/>
        <w:rPr>
          <w:rFonts w:ascii="Arial" w:hAnsi="Arial" w:eastAsia="Arial" w:cs="Arial"/>
        </w:rPr>
      </w:pPr>
      <w:r>
        <w:rPr>
          <w:rFonts w:eastAsia="Arial" w:cs="Arial" w:ascii="Arial" w:hAnsi="Arial"/>
        </w:rPr>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i/>
          <w:i/>
        </w:rPr>
      </w:pPr>
      <w:r>
        <w:rPr>
          <w:rFonts w:eastAsia="Arial" w:cs="Arial" w:ascii="Arial" w:hAnsi="Arial"/>
        </w:rPr>
        <w:t>Sobre la iniciativa, la responsable de Sostenibilidad en Telefónica, Antonella Tomic, destacó:</w:t>
      </w:r>
      <w:r>
        <w:rPr>
          <w:rFonts w:eastAsia="Arial" w:cs="Arial" w:ascii="Arial" w:hAnsi="Arial"/>
          <w:i/>
        </w:rPr>
        <w:t xml:space="preserve"> “la sustentabilidad es algo que debe atravesar a todo el negocio de una compañía. En Telefónica, lo consideramos un factor clave para alcanzar la transformación digital, que es uno de nuestros pilares, a la vez que promovemos modos de producción y consumo responsables. Es por esto que estamos muy entusiasmados de poder anunciar esta iniciativa”.</w:t>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rPr>
      </w:pPr>
      <w:r>
        <w:rPr>
          <w:rFonts w:eastAsia="Arial" w:cs="Arial" w:ascii="Arial" w:hAnsi="Arial"/>
        </w:rPr>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rPr>
      </w:pPr>
      <w:r>
        <w:rPr>
          <w:rFonts w:eastAsia="Arial" w:cs="Arial" w:ascii="Arial" w:hAnsi="Arial"/>
          <w:i/>
        </w:rPr>
        <w:t>“</w:t>
      </w:r>
      <w:r>
        <w:rPr>
          <w:rFonts w:eastAsia="Arial" w:cs="Arial" w:ascii="Arial" w:hAnsi="Arial"/>
          <w:i/>
        </w:rPr>
        <w:t xml:space="preserve">A medida que se avanza en la formación de un mundo cada vez más digitalizado, se genera un crecimiento sostenido de aparatos eléctricos y electrónicos. Es por esto por lo que resulta fundamental trabajar en iniciativas que promuevan la valorización de estos dispositivos en desuso para poder recuperar materiales que puedan reinsertarse en la industria, mitigando la presión sobre recursos no renovables” </w:t>
      </w:r>
      <w:r>
        <w:rPr>
          <w:rFonts w:eastAsia="Arial" w:cs="Arial" w:ascii="Arial" w:hAnsi="Arial"/>
        </w:rPr>
        <w:t>afirmó Eduardo Marty, director comercial de RESTEC Argentina.</w:t>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rPr>
      </w:pPr>
      <w:r>
        <w:rPr>
          <w:rFonts w:eastAsia="Arial" w:cs="Arial" w:ascii="Arial" w:hAnsi="Arial"/>
        </w:rPr>
      </w:r>
    </w:p>
    <w:p>
      <w:pPr>
        <w:pStyle w:val="Normal1"/>
        <w:keepNext w:val="false"/>
        <w:keepLines w:val="false"/>
        <w:pageBreakBefore w:val="false"/>
        <w:widowControl/>
        <w:pBdr/>
        <w:shd w:val="clear" w:fill="FFFFFF"/>
        <w:spacing w:lineRule="auto" w:line="240" w:before="0" w:after="0"/>
        <w:ind w:left="0" w:right="0" w:hanging="0"/>
        <w:jc w:val="both"/>
        <w:rPr>
          <w:rFonts w:ascii="Arial" w:hAnsi="Arial" w:eastAsia="Arial" w:cs="Arial"/>
        </w:rPr>
      </w:pPr>
      <w:r>
        <w:rPr>
          <w:rFonts w:eastAsia="Arial" w:cs="Arial" w:ascii="Arial" w:hAnsi="Arial"/>
        </w:rPr>
        <w:t>RESTEC es un consorcio conformado por empresas con habilitaciones tecnológicas y certificados ambientales aplicados a un Sistema Integrado de Gestión especializado en la segregación y valorización de aparatos eléctricos y electrónicos obsoletos o en desuso y scrap asimilable, garantizando la incorporación  de todos los recursos de esa corriente de pasivos a la economía circular, evitando la disposición  final de las fracciones no valorizables en rellenos de seguridad o vertederos.</w:t>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rPr>
      </w:pPr>
      <w:r>
        <w:rPr>
          <w:rFonts w:eastAsia="Arial" w:cs="Arial" w:ascii="Arial" w:hAnsi="Arial"/>
        </w:rPr>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rPr>
      </w:pPr>
      <w:r>
        <w:rPr>
          <w:rFonts w:eastAsia="Arial" w:cs="Arial" w:ascii="Arial" w:hAnsi="Arial"/>
        </w:rPr>
        <w:t>Telefónica Movistar continúa reforzando su estrategia basada en el negocio responsable, para generar valor a largo plazo y de forma sostenible, teniendo en cuenta las necesidades de todos sus grupos de interés.</w:t>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color w:val="555555"/>
          <w:sz w:val="18"/>
          <w:szCs w:val="18"/>
        </w:rPr>
      </w:pPr>
      <w:r>
        <w:rPr>
          <w:rFonts w:eastAsia="Arial" w:cs="Arial" w:ascii="Arial" w:hAnsi="Arial"/>
          <w:color w:val="555555"/>
          <w:sz w:val="18"/>
          <w:szCs w:val="18"/>
        </w:rPr>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color w:val="555555"/>
          <w:sz w:val="18"/>
          <w:szCs w:val="18"/>
          <w:highlight w:val="yellow"/>
        </w:rPr>
      </w:pPr>
      <w:r>
        <w:rPr>
          <w:rFonts w:eastAsia="Arial" w:cs="Arial" w:ascii="Arial" w:hAnsi="Arial"/>
          <w:color w:val="555555"/>
          <w:sz w:val="18"/>
          <w:szCs w:val="18"/>
          <w:highlight w:val="yellow"/>
        </w:rPr>
      </w:r>
    </w:p>
    <w:p>
      <w:pPr>
        <w:pStyle w:val="Normal1"/>
        <w:spacing w:lineRule="auto" w:line="240" w:before="0" w:after="0"/>
        <w:rPr>
          <w:rFonts w:ascii="Arial" w:hAnsi="Arial" w:eastAsia="Arial" w:cs="Arial"/>
          <w:b/>
          <w:b/>
          <w:u w:val="single"/>
        </w:rPr>
      </w:pPr>
      <w:r>
        <w:rPr>
          <w:rFonts w:eastAsia="Arial" w:cs="Arial" w:ascii="Arial" w:hAnsi="Arial"/>
          <w:b/>
          <w:u w:val="single"/>
        </w:rPr>
      </w:r>
    </w:p>
    <w:p>
      <w:pPr>
        <w:pStyle w:val="Normal1"/>
        <w:spacing w:lineRule="auto" w:line="240" w:before="0" w:after="0"/>
        <w:rPr>
          <w:rFonts w:ascii="Arial" w:hAnsi="Arial" w:eastAsia="Arial" w:cs="Arial"/>
          <w:b/>
          <w:b/>
          <w:u w:val="single"/>
        </w:rPr>
      </w:pPr>
      <w:r>
        <w:rPr>
          <w:rFonts w:eastAsia="Arial" w:cs="Arial" w:ascii="Arial" w:hAnsi="Arial"/>
          <w:b/>
          <w:u w:val="single"/>
        </w:rPr>
        <w:t>Acerca de Telefónica Movistar Argentina</w:t>
      </w:r>
    </w:p>
    <w:p>
      <w:pPr>
        <w:pStyle w:val="Normal1"/>
        <w:spacing w:lineRule="auto" w:line="240" w:before="0" w:after="0"/>
        <w:rPr>
          <w:rFonts w:ascii="Arial" w:hAnsi="Arial" w:eastAsia="Arial" w:cs="Arial"/>
        </w:rPr>
      </w:pPr>
      <w:r>
        <w:rPr>
          <w:rFonts w:eastAsia="Arial" w:cs="Arial" w:ascii="Arial" w:hAnsi="Arial"/>
        </w:rPr>
      </w:r>
    </w:p>
    <w:p>
      <w:pPr>
        <w:pStyle w:val="Normal1"/>
        <w:spacing w:lineRule="auto" w:line="240" w:before="0" w:after="0"/>
        <w:rPr>
          <w:rFonts w:ascii="Arial" w:hAnsi="Arial" w:eastAsia="Arial" w:cs="Arial"/>
        </w:rPr>
      </w:pPr>
      <w:r>
        <w:rPr>
          <w:rFonts w:eastAsia="Arial" w:cs="Arial" w:ascii="Arial" w:hAnsi="Arial"/>
        </w:rPr>
        <w:t>Telefónica es uno de los operadores de comunicaciones integradas más grandes del mundo. Tiene presencia en 14 países.</w:t>
      </w:r>
    </w:p>
    <w:p>
      <w:pPr>
        <w:pStyle w:val="Normal1"/>
        <w:spacing w:lineRule="auto" w:line="240" w:before="0" w:after="0"/>
        <w:rPr>
          <w:rFonts w:ascii="Arial" w:hAnsi="Arial" w:eastAsia="Arial" w:cs="Arial"/>
        </w:rPr>
      </w:pPr>
      <w:r>
        <w:rPr>
          <w:rFonts w:eastAsia="Arial" w:cs="Arial" w:ascii="Arial" w:hAnsi="Arial"/>
        </w:rPr>
      </w:r>
    </w:p>
    <w:p>
      <w:pPr>
        <w:pStyle w:val="Normal1"/>
        <w:spacing w:lineRule="auto" w:line="240" w:before="0" w:after="0"/>
        <w:rPr>
          <w:rFonts w:ascii="Arial" w:hAnsi="Arial" w:eastAsia="Arial" w:cs="Arial"/>
        </w:rPr>
      </w:pPr>
      <w:r>
        <w:rPr>
          <w:rFonts w:eastAsia="Arial" w:cs="Arial" w:ascii="Arial" w:hAnsi="Arial"/>
        </w:rPr>
        <w:t>En Argentina, opera bajo la marca comercial Movistar.</w:t>
      </w:r>
    </w:p>
    <w:p>
      <w:pPr>
        <w:pStyle w:val="Normal1"/>
        <w:spacing w:lineRule="auto" w:line="240" w:before="0" w:after="0"/>
        <w:rPr>
          <w:rFonts w:ascii="Arial" w:hAnsi="Arial" w:eastAsia="Arial" w:cs="Arial"/>
        </w:rPr>
      </w:pPr>
      <w:r>
        <w:rPr>
          <w:rFonts w:eastAsia="Arial" w:cs="Arial" w:ascii="Arial" w:hAnsi="Arial"/>
        </w:rPr>
      </w:r>
    </w:p>
    <w:p>
      <w:pPr>
        <w:pStyle w:val="Normal1"/>
        <w:spacing w:lineRule="auto" w:line="240" w:before="0" w:after="0"/>
        <w:jc w:val="both"/>
        <w:rPr>
          <w:rFonts w:ascii="Arial" w:hAnsi="Arial" w:eastAsia="Arial" w:cs="Arial"/>
        </w:rPr>
      </w:pPr>
      <w:r>
        <w:rPr>
          <w:rFonts w:eastAsia="Arial" w:cs="Arial" w:ascii="Arial" w:hAnsi="Arial"/>
        </w:rPr>
        <w:t>Movistar Argentina cuenta con más de 21 millones de accesos de clientes, los cuales incluyen líneas y conectividad fija y móvil, y una red de fibra óptica de transporte con una longitud de más de casi 34.000 kilómetros (entre propios y terceros), además del servicio de televisión.</w:t>
      </w:r>
    </w:p>
    <w:p>
      <w:pPr>
        <w:pStyle w:val="Normal1"/>
        <w:spacing w:lineRule="auto" w:line="240" w:before="0" w:after="0"/>
        <w:jc w:val="both"/>
        <w:rPr>
          <w:rFonts w:ascii="Arial" w:hAnsi="Arial" w:eastAsia="Arial" w:cs="Arial"/>
        </w:rPr>
      </w:pPr>
      <w:r>
        <w:rPr>
          <w:rFonts w:eastAsia="Arial" w:cs="Arial" w:ascii="Arial" w:hAnsi="Arial"/>
        </w:rPr>
      </w:r>
    </w:p>
    <w:p>
      <w:pPr>
        <w:pStyle w:val="Normal1"/>
        <w:spacing w:lineRule="auto" w:line="240" w:before="0" w:after="0"/>
        <w:jc w:val="both"/>
        <w:rPr>
          <w:rFonts w:ascii="Arial" w:hAnsi="Arial" w:eastAsia="Arial" w:cs="Arial"/>
        </w:rPr>
      </w:pPr>
      <w:r>
        <w:rPr>
          <w:rFonts w:eastAsia="Arial" w:cs="Arial" w:ascii="Arial" w:hAnsi="Arial"/>
        </w:rPr>
        <w:t>La compañía ofrece los medios para facilitar la comunicación entre las personas, proporcionándoles la tecnología más segura y de vanguardia, para que vivan mejor y consigan todo lo que se propongan.</w:t>
      </w:r>
    </w:p>
    <w:p>
      <w:pPr>
        <w:pStyle w:val="Normal1"/>
        <w:spacing w:lineRule="auto" w:line="240" w:before="0" w:after="0"/>
        <w:jc w:val="both"/>
        <w:rPr>
          <w:rFonts w:ascii="Arial" w:hAnsi="Arial" w:eastAsia="Arial" w:cs="Arial"/>
        </w:rPr>
      </w:pPr>
      <w:r>
        <w:rPr>
          <w:rFonts w:eastAsia="Arial" w:cs="Arial" w:ascii="Arial" w:hAnsi="Arial"/>
        </w:rPr>
      </w:r>
    </w:p>
    <w:p>
      <w:pPr>
        <w:pStyle w:val="Normal1"/>
        <w:spacing w:lineRule="auto" w:line="240" w:before="0" w:after="0"/>
        <w:jc w:val="both"/>
        <w:rPr>
          <w:rFonts w:ascii="Arial" w:hAnsi="Arial" w:eastAsia="Arial" w:cs="Arial"/>
        </w:rPr>
      </w:pPr>
      <w:r>
        <w:rPr>
          <w:rFonts w:eastAsia="Arial" w:cs="Arial" w:ascii="Arial" w:hAnsi="Arial"/>
        </w:rPr>
        <w:t>Bajo una estrategia de inversión constante y creciente, Movistar es uno de los principales actores del mercado en el desarrollo de las redes de comunicaciones 4G y FTTH para llevarle a los clientes nuevas y mejores experiencias de conectividad.</w:t>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color w:val="555555"/>
          <w:sz w:val="18"/>
          <w:szCs w:val="18"/>
        </w:rPr>
      </w:pPr>
      <w:r>
        <w:rPr>
          <w:rFonts w:eastAsia="Arial" w:cs="Arial" w:ascii="Arial" w:hAnsi="Arial"/>
          <w:color w:val="555555"/>
          <w:sz w:val="18"/>
          <w:szCs w:val="18"/>
        </w:rPr>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555555"/>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555555"/>
          <w:position w:val="0"/>
          <w:sz w:val="18"/>
          <w:sz w:val="18"/>
          <w:szCs w:val="18"/>
          <w:u w:val="none"/>
          <w:shd w:fill="auto" w:val="clear"/>
          <w:vertAlign w:val="baseline"/>
        </w:rPr>
      </w:r>
    </w:p>
    <w:p>
      <w:pPr>
        <w:pStyle w:val="Normal1"/>
        <w:keepNext w:val="false"/>
        <w:keepLines w:val="false"/>
        <w:pageBreakBefore w:val="false"/>
        <w:widowControl/>
        <w:pBdr/>
        <w:shd w:val="clear" w:fill="FFFFFF"/>
        <w:spacing w:lineRule="auto" w:line="240" w:before="0" w:after="0"/>
        <w:ind w:left="0" w:right="0" w:hanging="0"/>
        <w:jc w:val="left"/>
        <w:rPr>
          <w:rFonts w:ascii="Arial" w:hAnsi="Arial" w:eastAsia="Arial" w:cs="Arial"/>
          <w:color w:val="555555"/>
          <w:sz w:val="18"/>
          <w:szCs w:val="18"/>
        </w:rPr>
      </w:pPr>
      <w:r>
        <w:rPr>
          <w:rFonts w:eastAsia="Arial" w:cs="Arial" w:ascii="Arial" w:hAnsi="Arial"/>
          <w:color w:val="555555"/>
          <w:sz w:val="18"/>
          <w:szCs w:val="18"/>
        </w:rPr>
      </w:r>
    </w:p>
    <w:p>
      <w:pPr>
        <w:pStyle w:val="Normal1"/>
        <w:widowControl/>
        <w:bidi w:val="0"/>
        <w:spacing w:lineRule="auto" w:line="259" w:before="0" w:after="160"/>
        <w:jc w:val="left"/>
        <w:rPr/>
      </w:pPr>
      <w:r>
        <w:rPr/>
      </w:r>
    </w:p>
    <w:sectPr>
      <w:headerReference w:type="default" r:id="rId2"/>
      <w:headerReference w:type="first" r:id="rId3"/>
      <w:footerReference w:type="first" r:id="rId4"/>
      <w:type w:val="nextPage"/>
      <w:pgSz w:w="11906" w:h="16838"/>
      <w:pgMar w:left="1701" w:right="1701" w:gutter="0" w:header="708" w:top="1417" w:footer="708" w:bottom="1417"/>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Liberation Sans">
    <w:altName w:val="Arial"/>
    <w:charset w:val="01"/>
    <w:family w:val="swiss"/>
    <w:pitch w:val="default"/>
  </w:font>
  <w:font w:name="Tahoma">
    <w:charset w:val="01"/>
    <w:family w:val="swiss"/>
    <w:pitch w:val="default"/>
  </w:font>
  <w:font w:name="Times New Roman">
    <w:charset w:val="01"/>
    <w:family w:val="swiss"/>
    <w:pitch w:val="default"/>
  </w:font>
  <w:font w:name="Georgia">
    <w:charset w:val="01"/>
    <w:family w:val="swiss"/>
    <w:pitch w:val="default"/>
  </w:font>
  <w:font w:name="Arial">
    <w:charset w:val="01"/>
    <w:family w:val="swiss"/>
    <w:pitch w:val="default"/>
  </w:font>
  <w:font w:name="Noto Sans Symbols">
    <w:charset w:val="01"/>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bidi w:val="0"/>
      <w:spacing w:lineRule="auto" w:line="259" w:before="0" w:after="16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lineRule="auto" w:line="276" w:before="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lineRule="auto" w:line="276" w:before="0" w:after="0"/>
      <w:rPr/>
    </w:pPr>
    <w:r>
      <w:rPr/>
      <w:drawing>
        <wp:inline distT="0" distB="0" distL="0" distR="0">
          <wp:extent cx="3009900" cy="109537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3009900" cy="10953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AR"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A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4b3833"/>
    <w:rPr>
      <w:b/>
      <w:bCs/>
    </w:rPr>
  </w:style>
  <w:style w:type="character" w:styleId="Il" w:customStyle="1">
    <w:name w:val="il"/>
    <w:basedOn w:val="DefaultParagraphFont"/>
    <w:qFormat/>
    <w:rsid w:val="004b3833"/>
    <w:rPr/>
  </w:style>
  <w:style w:type="paragraph" w:styleId="Ttulo">
    <w:name w:val="Título"/>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ascii="Tahoma" w:hAnsi="Tahoma" w:cs="Arial"/>
      <w:sz w:val="24"/>
    </w:rPr>
  </w:style>
  <w:style w:type="paragraph" w:styleId="Leyenda">
    <w:name w:val="Caption"/>
    <w:basedOn w:val="Normal"/>
    <w:qFormat/>
    <w:pPr>
      <w:suppressLineNumbers/>
      <w:spacing w:before="120" w:after="120"/>
    </w:pPr>
    <w:rPr>
      <w:rFonts w:ascii="Tahoma" w:hAnsi="Tahoma" w:cs="Arial"/>
      <w:i/>
      <w:iCs/>
      <w:sz w:val="24"/>
      <w:szCs w:val="24"/>
    </w:rPr>
  </w:style>
  <w:style w:type="paragraph" w:styleId="Ndice">
    <w:name w:val="Índice"/>
    <w:basedOn w:val="Normal"/>
    <w:qFormat/>
    <w:pPr>
      <w:suppressLineNumbers/>
    </w:pPr>
    <w:rPr>
      <w:rFonts w:ascii="Tahoma" w:hAnsi="Tahoma" w:cs="Arial"/>
      <w:sz w:val="24"/>
      <w:lang w:val="zxx" w:eastAsia="zxx" w:bidi="zxx"/>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s-AR" w:eastAsia="zh-CN" w:bidi="hi-IN"/>
    </w:rPr>
  </w:style>
  <w:style w:type="paragraph" w:styleId="Ttulogeneral">
    <w:name w:val="Title"/>
    <w:basedOn w:val="Normal1"/>
    <w:next w:val="Normal1"/>
    <w:qFormat/>
    <w:pPr>
      <w:keepNext w:val="true"/>
      <w:keepLines/>
      <w:pageBreakBefore w:val="false"/>
      <w:spacing w:lineRule="auto" w:line="240" w:before="480" w:after="120"/>
    </w:pPr>
    <w:rPr>
      <w:b/>
      <w:sz w:val="72"/>
      <w:szCs w:val="72"/>
    </w:rPr>
  </w:style>
  <w:style w:type="paragraph" w:styleId="NormalWeb">
    <w:name w:val="Normal (Web)"/>
    <w:basedOn w:val="Normal1"/>
    <w:uiPriority w:val="99"/>
    <w:semiHidden/>
    <w:unhideWhenUsed/>
    <w:qFormat/>
    <w:rsid w:val="004b3833"/>
    <w:pPr>
      <w:spacing w:lineRule="auto" w:line="240" w:beforeAutospacing="1" w:afterAutospacing="1"/>
    </w:pPr>
    <w:rPr>
      <w:rFonts w:ascii="Times New Roman" w:hAnsi="Times New Roman" w:eastAsia="Times New Roman" w:cs="Times New Roman"/>
      <w:sz w:val="24"/>
      <w:szCs w:val="24"/>
      <w:lang w:eastAsia="es-AR"/>
    </w:rPr>
  </w:style>
  <w:style w:type="paragraph" w:styleId="ListParagraph">
    <w:name w:val="List Paragraph"/>
    <w:basedOn w:val="Normal1"/>
    <w:uiPriority w:val="34"/>
    <w:qFormat/>
    <w:rsid w:val="004b3833"/>
    <w:pPr>
      <w:spacing w:before="0" w:after="160"/>
      <w:ind w:left="720" w:hanging="0"/>
      <w:contextualSpacing/>
    </w:pPr>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7Mya5DdB660Yq/sRzw2VMWDSKJg==">CgMxLjA4AHIhMXFEZlBmM2ZZZEItZjdZZW9fd0k4Ui1KS0VKV0tkSDh0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2</Pages>
  <Words>728</Words>
  <Characters>4063</Characters>
  <CharactersWithSpaces>4768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2023-03-03T14:09:00Z</dcterms:created>
  <dc:creator>Sofia Sterin</dc:creator>
  <dc:description/>
  <dc:language>es-AR</dc:language>
  <cp:lastModifiedBy/>
  <cp:revision>0</cp:revision>
  <dc:subject/>
  <dc:title/>
</cp:coreProperties>
</file>