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87512" w14:textId="77777777" w:rsidR="009B14F0" w:rsidRDefault="00000000">
      <w:pPr>
        <w:spacing w:before="240" w:after="240"/>
        <w:jc w:val="center"/>
        <w:rPr>
          <w:b/>
          <w:sz w:val="28"/>
          <w:szCs w:val="28"/>
        </w:rPr>
      </w:pPr>
      <w:r>
        <w:rPr>
          <w:b/>
          <w:sz w:val="28"/>
          <w:szCs w:val="28"/>
        </w:rPr>
        <w:t>VERANO EN BUENOS AIRES: ¿QUÉ PROPUESTAS TIENE MOVISTAR?</w:t>
      </w:r>
    </w:p>
    <w:p w14:paraId="2F60170C" w14:textId="77777777" w:rsidR="009B14F0" w:rsidRDefault="00000000">
      <w:pPr>
        <w:spacing w:before="240" w:after="240"/>
        <w:jc w:val="both"/>
        <w:rPr>
          <w:b/>
        </w:rPr>
      </w:pPr>
      <w:r>
        <w:rPr>
          <w:b/>
        </w:rPr>
        <w:t>-De la mano de FMK, la marca inauguró la “Playa Movistar” en uno de los paradores más convocantes de la ciudad de Mar del Plata, con beneficios exclusivos para sus clientes, disponibles durante enero y febrero.</w:t>
      </w:r>
    </w:p>
    <w:p w14:paraId="1460E33B" w14:textId="77777777" w:rsidR="009B14F0" w:rsidRDefault="00000000">
      <w:pPr>
        <w:spacing w:before="240" w:after="240"/>
        <w:jc w:val="both"/>
        <w:rPr>
          <w:b/>
        </w:rPr>
      </w:pPr>
      <w:r>
        <w:rPr>
          <w:b/>
        </w:rPr>
        <w:t xml:space="preserve">-También habrá juegos y campeonatos de truco, metegol y </w:t>
      </w:r>
      <w:proofErr w:type="spellStart"/>
      <w:r>
        <w:rPr>
          <w:b/>
        </w:rPr>
        <w:t>Playstation</w:t>
      </w:r>
      <w:proofErr w:type="spellEnd"/>
      <w:r>
        <w:rPr>
          <w:b/>
        </w:rPr>
        <w:t xml:space="preserve"> en Pinamar, distribuidos entre la esquina de Bunge y Av. Libertador, y el balneario Boutique. </w:t>
      </w:r>
    </w:p>
    <w:p w14:paraId="63FA06ED" w14:textId="77777777" w:rsidR="009B14F0" w:rsidRDefault="00000000">
      <w:pPr>
        <w:spacing w:before="240" w:after="240"/>
        <w:jc w:val="both"/>
        <w:rPr>
          <w:b/>
        </w:rPr>
      </w:pPr>
      <w:r>
        <w:rPr>
          <w:b/>
        </w:rPr>
        <w:t xml:space="preserve">-Además, Fundación Telefónica Movistar presenta su muestra </w:t>
      </w:r>
      <w:r>
        <w:rPr>
          <w:b/>
          <w:i/>
        </w:rPr>
        <w:t>Conectados. Una mirada a la tecnología que nos acerca</w:t>
      </w:r>
      <w:r>
        <w:rPr>
          <w:b/>
        </w:rPr>
        <w:t xml:space="preserve"> para quienes estén en Buenos Aires, abierta al público de martes y jueves de 14 a 18 </w:t>
      </w:r>
      <w:proofErr w:type="spellStart"/>
      <w:r>
        <w:rPr>
          <w:b/>
        </w:rPr>
        <w:t>hs</w:t>
      </w:r>
      <w:proofErr w:type="spellEnd"/>
      <w:r>
        <w:rPr>
          <w:b/>
        </w:rPr>
        <w:t>, hasta el 23 de febrero.</w:t>
      </w:r>
    </w:p>
    <w:p w14:paraId="09E8B0A8" w14:textId="77777777" w:rsidR="009B14F0" w:rsidRDefault="009B14F0">
      <w:pPr>
        <w:spacing w:before="240" w:after="240"/>
        <w:jc w:val="both"/>
        <w:rPr>
          <w:b/>
        </w:rPr>
      </w:pPr>
    </w:p>
    <w:p w14:paraId="3ECDC87D" w14:textId="74839A54" w:rsidR="009B14F0" w:rsidRDefault="00000000">
      <w:pPr>
        <w:spacing w:before="240" w:after="240"/>
        <w:jc w:val="both"/>
      </w:pPr>
      <w:r>
        <w:rPr>
          <w:b/>
        </w:rPr>
        <w:t xml:space="preserve">Buenos Aires, </w:t>
      </w:r>
      <w:r w:rsidR="00D43A82">
        <w:rPr>
          <w:b/>
        </w:rPr>
        <w:t>25</w:t>
      </w:r>
      <w:r>
        <w:rPr>
          <w:b/>
        </w:rPr>
        <w:t xml:space="preserve"> de enero de 2022.- </w:t>
      </w:r>
      <w:r>
        <w:t xml:space="preserve">Movistar presenta sus acciones de verano en la provincia de Buenos Aires con beneficios exclusivos para sus clientes. </w:t>
      </w:r>
    </w:p>
    <w:p w14:paraId="77914ABC" w14:textId="77777777" w:rsidR="009B14F0" w:rsidRDefault="00000000">
      <w:pPr>
        <w:spacing w:before="240" w:after="240"/>
        <w:jc w:val="both"/>
      </w:pPr>
      <w:r>
        <w:t>En Mar del Plata, la marca inauguró la “Playa Movistar” por quinto año consecutivo en Playa Grande, uno de los balnearios más convocantes de la ciudad. El lugar cuenta con diferentes propuestas para el público general, y beneficios exclusivos para clientes, como el “Kit sombra”, compuesto por una sombrilla y reposeras, para que puedan disfrutar del día de playa. Para poder acceder a este beneficio, deberán acercarse al stand para validar que son clientes. El horario es de 10:00 a 17:00, y estará disponible hasta el 12 de febrero.</w:t>
      </w:r>
    </w:p>
    <w:p w14:paraId="1BECFAA5" w14:textId="77777777" w:rsidR="009B14F0" w:rsidRDefault="00000000">
      <w:pPr>
        <w:spacing w:before="240" w:after="240"/>
        <w:jc w:val="both"/>
      </w:pPr>
      <w:r>
        <w:t xml:space="preserve">Además, el lugar está ambientado con música y cuenta con canchas de fútbol tenis y un “juego de emboque” en donde los ocho mejores puntajes del día se llevan premios, y los cuatro mejores de la temporada se llevarán un celular </w:t>
      </w:r>
      <w:r>
        <w:rPr>
          <w:b/>
        </w:rPr>
        <w:t xml:space="preserve">Motorola </w:t>
      </w:r>
      <w:proofErr w:type="spellStart"/>
      <w:r>
        <w:rPr>
          <w:b/>
        </w:rPr>
        <w:t>Fusion</w:t>
      </w:r>
      <w:proofErr w:type="spellEnd"/>
      <w:r>
        <w:rPr>
          <w:b/>
        </w:rPr>
        <w:t xml:space="preserve"> 30 EGDE 5G</w:t>
      </w:r>
      <w:r>
        <w:t xml:space="preserve"> cada uno. </w:t>
      </w:r>
    </w:p>
    <w:p w14:paraId="6D585897" w14:textId="77777777" w:rsidR="009B14F0" w:rsidRDefault="00000000">
      <w:pPr>
        <w:spacing w:before="240" w:after="240"/>
        <w:jc w:val="both"/>
      </w:pPr>
      <w:r>
        <w:t xml:space="preserve">Para iniciar la temporada, Movistar realizó la apertura de la playa con un </w:t>
      </w:r>
      <w:proofErr w:type="gramStart"/>
      <w:r>
        <w:rPr>
          <w:b/>
        </w:rPr>
        <w:t>show</w:t>
      </w:r>
      <w:proofErr w:type="gramEnd"/>
      <w:r>
        <w:rPr>
          <w:b/>
        </w:rPr>
        <w:t xml:space="preserve"> sorpresa de FMK</w:t>
      </w:r>
      <w:r>
        <w:t xml:space="preserve">, quien cantó para todos los presentes varios de sus hits como “Yo sé que tú”, “Prende la cámara” y “Bandido”. </w:t>
      </w:r>
    </w:p>
    <w:p w14:paraId="714B9216" w14:textId="77777777" w:rsidR="009B14F0" w:rsidRDefault="00000000">
      <w:pPr>
        <w:spacing w:before="240" w:after="240"/>
        <w:jc w:val="both"/>
      </w:pPr>
      <w:r>
        <w:t xml:space="preserve">Las acciones de verano también están presentes en Pinamar. Uno de los puntos clave es el balneario Boutique, donde se organizan campeonatos de truco, metegol y </w:t>
      </w:r>
      <w:proofErr w:type="spellStart"/>
      <w:r>
        <w:t>Playstation</w:t>
      </w:r>
      <w:proofErr w:type="spellEnd"/>
      <w:r>
        <w:t xml:space="preserve"> con ganadores que se llevan premios todos los días. El horario es de 14:30 a 18:30 </w:t>
      </w:r>
      <w:proofErr w:type="spellStart"/>
      <w:r>
        <w:t>hs</w:t>
      </w:r>
      <w:proofErr w:type="spellEnd"/>
      <w:r>
        <w:t xml:space="preserve"> y las actividades están abiertas al público en general durante todo enero. Los clientes Movistar cuentan con el beneficio exclusivo de ingreso al sector sombra con camastros y hamacas </w:t>
      </w:r>
      <w:r>
        <w:lastRenderedPageBreak/>
        <w:t xml:space="preserve">paraguayas, juegos de playa, el menú Movistar y un </w:t>
      </w:r>
      <w:proofErr w:type="spellStart"/>
      <w:r>
        <w:t>cooler</w:t>
      </w:r>
      <w:proofErr w:type="spellEnd"/>
      <w:r>
        <w:t xml:space="preserve"> de bienvenida que se entrega en el primer alquiler de la carpa o sombrilla.</w:t>
      </w:r>
    </w:p>
    <w:p w14:paraId="7B30524C" w14:textId="77777777" w:rsidR="009B14F0" w:rsidRDefault="00000000">
      <w:pPr>
        <w:spacing w:before="240" w:after="240"/>
        <w:jc w:val="both"/>
      </w:pPr>
      <w:r>
        <w:t xml:space="preserve">El otro punto clave es la famosa esquina de Bunge y Av. Libertador, donde los visitantes podrán participar de juegos, y los mejores puntajes del día se llevan premios. Al final de la temporada, los cuatro mejores puntajes se llevan un equipo Motorola </w:t>
      </w:r>
      <w:proofErr w:type="spellStart"/>
      <w:r>
        <w:t>Fusion</w:t>
      </w:r>
      <w:proofErr w:type="spellEnd"/>
      <w:r>
        <w:t xml:space="preserve"> 30 EDGE 5G. Además, cuentan con un puesto de Atención al Cliente abierto de 18:00 a 0:00 </w:t>
      </w:r>
      <w:proofErr w:type="spellStart"/>
      <w:r>
        <w:t>hs</w:t>
      </w:r>
      <w:proofErr w:type="spellEnd"/>
      <w:r>
        <w:t xml:space="preserve">. </w:t>
      </w:r>
    </w:p>
    <w:p w14:paraId="07D214A4" w14:textId="4C3E670C" w:rsidR="009B14F0" w:rsidRDefault="00000000">
      <w:pPr>
        <w:spacing w:before="240" w:after="240"/>
        <w:jc w:val="both"/>
      </w:pPr>
      <w:r>
        <w:t>Además, para quienes estén en Buenos Aires, Movistar presenta la muestra “</w:t>
      </w:r>
      <w:r>
        <w:rPr>
          <w:i/>
        </w:rPr>
        <w:t>Conectados. Una mirada a la tecnología que nos acerca</w:t>
      </w:r>
      <w:r>
        <w:t xml:space="preserve">” en la Fundación Telefónica Movistar, disponible </w:t>
      </w:r>
      <w:r w:rsidR="002735EC">
        <w:t>los</w:t>
      </w:r>
      <w:r>
        <w:t xml:space="preserve"> martes y jueves de 14 a 18 </w:t>
      </w:r>
      <w:proofErr w:type="spellStart"/>
      <w:r>
        <w:t>hs</w:t>
      </w:r>
      <w:proofErr w:type="spellEnd"/>
      <w:r>
        <w:t xml:space="preserve">, hasta el 23 de febrero. La entrada es libre y gratuita, y ofrece la posibilidad de realizar una visita guiada que comienza a las 16:30 </w:t>
      </w:r>
      <w:proofErr w:type="spellStart"/>
      <w:r>
        <w:t>hs</w:t>
      </w:r>
      <w:proofErr w:type="spellEnd"/>
      <w:r>
        <w:t>. Para más información, ingresar a:</w:t>
      </w:r>
      <w:r w:rsidR="002735EC">
        <w:t xml:space="preserve"> </w:t>
      </w:r>
      <w:hyperlink r:id="rId7" w:history="1">
        <w:r w:rsidR="002735EC" w:rsidRPr="008D32AF">
          <w:rPr>
            <w:rStyle w:val="Hipervnculo"/>
          </w:rPr>
          <w:t>https://www.fundaciontelefonica.com.ar/exposiciones/conectados-una-mirada-a-la-tecnologia-que-nos-acerca/</w:t>
        </w:r>
      </w:hyperlink>
      <w:r>
        <w:t>.</w:t>
      </w:r>
    </w:p>
    <w:p w14:paraId="216E81C4" w14:textId="77777777" w:rsidR="009B14F0" w:rsidRDefault="009B14F0">
      <w:pPr>
        <w:rPr>
          <w:highlight w:val="yellow"/>
        </w:rPr>
      </w:pPr>
    </w:p>
    <w:sectPr w:rsidR="009B14F0">
      <w:headerReference w:type="default" r:id="rId8"/>
      <w:foot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50845" w14:textId="77777777" w:rsidR="00435CAF" w:rsidRDefault="00435CAF">
      <w:pPr>
        <w:spacing w:line="240" w:lineRule="auto"/>
      </w:pPr>
      <w:r>
        <w:separator/>
      </w:r>
    </w:p>
  </w:endnote>
  <w:endnote w:type="continuationSeparator" w:id="0">
    <w:p w14:paraId="45550FD2" w14:textId="77777777" w:rsidR="00435CAF" w:rsidRDefault="00435C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36A45" w14:textId="77777777" w:rsidR="009B14F0" w:rsidRDefault="009B14F0"/>
  <w:tbl>
    <w:tblPr>
      <w:tblStyle w:val="a"/>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888"/>
      <w:gridCol w:w="2832"/>
      <w:gridCol w:w="2305"/>
    </w:tblGrid>
    <w:tr w:rsidR="009B14F0" w14:paraId="71E6204A" w14:textId="77777777">
      <w:trPr>
        <w:trHeight w:val="800"/>
      </w:trPr>
      <w:tc>
        <w:tcPr>
          <w:tcW w:w="3888" w:type="dxa"/>
          <w:tcBorders>
            <w:top w:val="nil"/>
            <w:left w:val="nil"/>
            <w:bottom w:val="nil"/>
            <w:right w:val="nil"/>
          </w:tcBorders>
          <w:tcMar>
            <w:top w:w="100" w:type="dxa"/>
            <w:left w:w="100" w:type="dxa"/>
            <w:bottom w:w="100" w:type="dxa"/>
            <w:right w:w="100" w:type="dxa"/>
          </w:tcMar>
          <w:vAlign w:val="center"/>
        </w:tcPr>
        <w:p w14:paraId="3CB0D021" w14:textId="77777777" w:rsidR="009B14F0" w:rsidRDefault="00000000">
          <w:pPr>
            <w:widowControl w:val="0"/>
            <w:pBdr>
              <w:top w:val="nil"/>
              <w:left w:val="nil"/>
              <w:bottom w:val="nil"/>
              <w:right w:val="nil"/>
              <w:between w:val="nil"/>
            </w:pBdr>
          </w:pPr>
          <w:r>
            <w:rPr>
              <w:noProof/>
            </w:rPr>
            <w:drawing>
              <wp:inline distT="114300" distB="114300" distL="114300" distR="114300" wp14:anchorId="711AB7C1" wp14:editId="2908545C">
                <wp:extent cx="2400300" cy="152400"/>
                <wp:effectExtent l="0" t="0" r="0" b="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400300" cy="152400"/>
                        </a:xfrm>
                        <a:prstGeom prst="rect">
                          <a:avLst/>
                        </a:prstGeom>
                        <a:ln/>
                      </pic:spPr>
                    </pic:pic>
                  </a:graphicData>
                </a:graphic>
              </wp:inline>
            </w:drawing>
          </w:r>
        </w:p>
      </w:tc>
      <w:tc>
        <w:tcPr>
          <w:tcW w:w="2832" w:type="dxa"/>
          <w:tcBorders>
            <w:top w:val="nil"/>
            <w:left w:val="nil"/>
            <w:bottom w:val="nil"/>
            <w:right w:val="nil"/>
          </w:tcBorders>
          <w:tcMar>
            <w:top w:w="100" w:type="dxa"/>
            <w:left w:w="100" w:type="dxa"/>
            <w:bottom w:w="100" w:type="dxa"/>
            <w:right w:w="100" w:type="dxa"/>
          </w:tcMar>
        </w:tcPr>
        <w:p w14:paraId="662D4D97" w14:textId="77777777" w:rsidR="009B14F0" w:rsidRDefault="00000000">
          <w:pPr>
            <w:widowControl w:val="0"/>
            <w:pBdr>
              <w:top w:val="nil"/>
              <w:left w:val="nil"/>
              <w:bottom w:val="nil"/>
              <w:right w:val="nil"/>
              <w:between w:val="nil"/>
            </w:pBdr>
          </w:pPr>
          <w:r>
            <w:t xml:space="preserve"> </w:t>
          </w:r>
        </w:p>
      </w:tc>
      <w:tc>
        <w:tcPr>
          <w:tcW w:w="2305" w:type="dxa"/>
          <w:tcBorders>
            <w:top w:val="nil"/>
            <w:left w:val="nil"/>
            <w:bottom w:val="nil"/>
            <w:right w:val="nil"/>
          </w:tcBorders>
          <w:tcMar>
            <w:top w:w="100" w:type="dxa"/>
            <w:left w:w="100" w:type="dxa"/>
            <w:bottom w:w="100" w:type="dxa"/>
            <w:right w:w="100" w:type="dxa"/>
          </w:tcMar>
          <w:vAlign w:val="center"/>
        </w:tcPr>
        <w:p w14:paraId="73067E42" w14:textId="77777777" w:rsidR="009B14F0" w:rsidRDefault="00000000">
          <w:pPr>
            <w:widowControl w:val="0"/>
            <w:pBdr>
              <w:top w:val="nil"/>
              <w:left w:val="nil"/>
              <w:bottom w:val="nil"/>
              <w:right w:val="nil"/>
              <w:between w:val="nil"/>
            </w:pBdr>
          </w:pPr>
          <w:r>
            <w:rPr>
              <w:noProof/>
            </w:rPr>
            <w:drawing>
              <wp:inline distT="114300" distB="114300" distL="114300" distR="114300" wp14:anchorId="3F9920F8" wp14:editId="709291DF">
                <wp:extent cx="1371600" cy="215900"/>
                <wp:effectExtent l="0" t="0" r="0" b="0"/>
                <wp:docPr id="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371600" cy="215900"/>
                        </a:xfrm>
                        <a:prstGeom prst="rect">
                          <a:avLst/>
                        </a:prstGeom>
                        <a:ln/>
                      </pic:spPr>
                    </pic:pic>
                  </a:graphicData>
                </a:graphic>
              </wp:inline>
            </w:drawing>
          </w:r>
        </w:p>
        <w:p w14:paraId="5B26931A" w14:textId="77777777" w:rsidR="009B14F0" w:rsidRDefault="009B14F0">
          <w:pPr>
            <w:widowControl w:val="0"/>
            <w:pBdr>
              <w:top w:val="nil"/>
              <w:left w:val="nil"/>
              <w:bottom w:val="nil"/>
              <w:right w:val="nil"/>
              <w:between w:val="nil"/>
            </w:pBdr>
          </w:pPr>
        </w:p>
      </w:tc>
    </w:tr>
  </w:tbl>
  <w:p w14:paraId="24719A8A" w14:textId="77777777" w:rsidR="009B14F0" w:rsidRDefault="009B14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08A5C" w14:textId="77777777" w:rsidR="00435CAF" w:rsidRDefault="00435CAF">
      <w:pPr>
        <w:spacing w:line="240" w:lineRule="auto"/>
      </w:pPr>
      <w:r>
        <w:separator/>
      </w:r>
    </w:p>
  </w:footnote>
  <w:footnote w:type="continuationSeparator" w:id="0">
    <w:p w14:paraId="36EFD5F1" w14:textId="77777777" w:rsidR="00435CAF" w:rsidRDefault="00435C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1E974" w14:textId="77777777" w:rsidR="009B14F0" w:rsidRDefault="00000000">
    <w:r>
      <w:rPr>
        <w:noProof/>
      </w:rPr>
      <w:drawing>
        <wp:inline distT="114300" distB="114300" distL="114300" distR="114300" wp14:anchorId="468A758F" wp14:editId="48CCBA7A">
          <wp:extent cx="3009900" cy="1095375"/>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009900" cy="109537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4F0"/>
    <w:rsid w:val="002735EC"/>
    <w:rsid w:val="00435CAF"/>
    <w:rsid w:val="00681F7C"/>
    <w:rsid w:val="009B14F0"/>
    <w:rsid w:val="00D43A8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606F4"/>
  <w15:docId w15:val="{82A14CE1-0B6E-4EC7-837C-3B237FC60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63">
    <w:name w:val="Table Normal63"/>
    <w:tblPr>
      <w:tblCellMar>
        <w:top w:w="0" w:type="dxa"/>
        <w:left w:w="0" w:type="dxa"/>
        <w:bottom w:w="0" w:type="dxa"/>
        <w:right w:w="0" w:type="dxa"/>
      </w:tblCellMar>
    </w:tblPr>
  </w:style>
  <w:style w:type="table" w:customStyle="1" w:styleId="TableNormal62">
    <w:name w:val="Table Normal62"/>
    <w:tblPr>
      <w:tblCellMar>
        <w:top w:w="0" w:type="dxa"/>
        <w:left w:w="0" w:type="dxa"/>
        <w:bottom w:w="0" w:type="dxa"/>
        <w:right w:w="0" w:type="dxa"/>
      </w:tblCellMar>
    </w:tblPr>
  </w:style>
  <w:style w:type="table" w:customStyle="1" w:styleId="TableNormal61">
    <w:name w:val="Table Normal61"/>
    <w:tblPr>
      <w:tblCellMar>
        <w:top w:w="0" w:type="dxa"/>
        <w:left w:w="0" w:type="dxa"/>
        <w:bottom w:w="0" w:type="dxa"/>
        <w:right w:w="0" w:type="dxa"/>
      </w:tblCellMar>
    </w:tblPr>
  </w:style>
  <w:style w:type="table" w:customStyle="1" w:styleId="TableNormal60">
    <w:name w:val="Table Normal60"/>
    <w:tblPr>
      <w:tblCellMar>
        <w:top w:w="0" w:type="dxa"/>
        <w:left w:w="0" w:type="dxa"/>
        <w:bottom w:w="0" w:type="dxa"/>
        <w:right w:w="0" w:type="dxa"/>
      </w:tblCellMar>
    </w:tblPr>
  </w:style>
  <w:style w:type="table" w:customStyle="1" w:styleId="TableNormal59">
    <w:name w:val="Table Normal59"/>
    <w:tblPr>
      <w:tblCellMar>
        <w:top w:w="0" w:type="dxa"/>
        <w:left w:w="0" w:type="dxa"/>
        <w:bottom w:w="0" w:type="dxa"/>
        <w:right w:w="0" w:type="dxa"/>
      </w:tblCellMar>
    </w:tblPr>
  </w:style>
  <w:style w:type="table" w:customStyle="1" w:styleId="TableNormal58">
    <w:name w:val="Table Normal58"/>
    <w:tblPr>
      <w:tblCellMar>
        <w:top w:w="0" w:type="dxa"/>
        <w:left w:w="0" w:type="dxa"/>
        <w:bottom w:w="0" w:type="dxa"/>
        <w:right w:w="0" w:type="dxa"/>
      </w:tblCellMar>
    </w:tblPr>
  </w:style>
  <w:style w:type="table" w:customStyle="1" w:styleId="TableNormal57">
    <w:name w:val="Table Normal57"/>
    <w:tblPr>
      <w:tblCellMar>
        <w:top w:w="0" w:type="dxa"/>
        <w:left w:w="0" w:type="dxa"/>
        <w:bottom w:w="0" w:type="dxa"/>
        <w:right w:w="0" w:type="dxa"/>
      </w:tblCellMar>
    </w:tblPr>
  </w:style>
  <w:style w:type="table" w:customStyle="1" w:styleId="TableNormal56">
    <w:name w:val="Table Normal56"/>
    <w:tblPr>
      <w:tblCellMar>
        <w:top w:w="0" w:type="dxa"/>
        <w:left w:w="0" w:type="dxa"/>
        <w:bottom w:w="0" w:type="dxa"/>
        <w:right w:w="0" w:type="dxa"/>
      </w:tblCellMar>
    </w:tblPr>
  </w:style>
  <w:style w:type="table" w:customStyle="1" w:styleId="TableNormal55">
    <w:name w:val="Table Normal55"/>
    <w:tblPr>
      <w:tblCellMar>
        <w:top w:w="0" w:type="dxa"/>
        <w:left w:w="0" w:type="dxa"/>
        <w:bottom w:w="0" w:type="dxa"/>
        <w:right w:w="0" w:type="dxa"/>
      </w:tblCellMar>
    </w:tblPr>
  </w:style>
  <w:style w:type="table" w:customStyle="1" w:styleId="TableNormal54">
    <w:name w:val="Table Normal54"/>
    <w:tblPr>
      <w:tblCellMar>
        <w:top w:w="0" w:type="dxa"/>
        <w:left w:w="0" w:type="dxa"/>
        <w:bottom w:w="0" w:type="dxa"/>
        <w:right w:w="0" w:type="dxa"/>
      </w:tblCellMar>
    </w:tblPr>
  </w:style>
  <w:style w:type="table" w:customStyle="1" w:styleId="TableNormal53">
    <w:name w:val="Table Normal53"/>
    <w:tblPr>
      <w:tblCellMar>
        <w:top w:w="0" w:type="dxa"/>
        <w:left w:w="0" w:type="dxa"/>
        <w:bottom w:w="0" w:type="dxa"/>
        <w:right w:w="0" w:type="dxa"/>
      </w:tblCellMar>
    </w:tblPr>
  </w:style>
  <w:style w:type="table" w:customStyle="1" w:styleId="TableNormal52">
    <w:name w:val="Table Normal52"/>
    <w:tblPr>
      <w:tblCellMar>
        <w:top w:w="0" w:type="dxa"/>
        <w:left w:w="0" w:type="dxa"/>
        <w:bottom w:w="0" w:type="dxa"/>
        <w:right w:w="0" w:type="dxa"/>
      </w:tblCellMar>
    </w:tblPr>
  </w:style>
  <w:style w:type="table" w:customStyle="1" w:styleId="TableNormal51">
    <w:name w:val="Table Normal51"/>
    <w:tblPr>
      <w:tblCellMar>
        <w:top w:w="0" w:type="dxa"/>
        <w:left w:w="0" w:type="dxa"/>
        <w:bottom w:w="0" w:type="dxa"/>
        <w:right w:w="0" w:type="dxa"/>
      </w:tblCellMar>
    </w:tblPr>
  </w:style>
  <w:style w:type="table" w:customStyle="1" w:styleId="TableNormal50">
    <w:name w:val="Table Normal50"/>
    <w:tblPr>
      <w:tblCellMar>
        <w:top w:w="0" w:type="dxa"/>
        <w:left w:w="0" w:type="dxa"/>
        <w:bottom w:w="0" w:type="dxa"/>
        <w:right w:w="0" w:type="dxa"/>
      </w:tblCellMar>
    </w:tblPr>
  </w:style>
  <w:style w:type="table" w:customStyle="1" w:styleId="TableNormal49">
    <w:name w:val="Table Normal49"/>
    <w:tblPr>
      <w:tblCellMar>
        <w:top w:w="0" w:type="dxa"/>
        <w:left w:w="0" w:type="dxa"/>
        <w:bottom w:w="0" w:type="dxa"/>
        <w:right w:w="0" w:type="dxa"/>
      </w:tblCellMar>
    </w:tblPr>
  </w:style>
  <w:style w:type="table" w:customStyle="1" w:styleId="TableNormal48">
    <w:name w:val="Table Normal48"/>
    <w:tblPr>
      <w:tblCellMar>
        <w:top w:w="0" w:type="dxa"/>
        <w:left w:w="0" w:type="dxa"/>
        <w:bottom w:w="0" w:type="dxa"/>
        <w:right w:w="0" w:type="dxa"/>
      </w:tblCellMar>
    </w:tblPr>
  </w:style>
  <w:style w:type="table" w:customStyle="1" w:styleId="TableNormal47">
    <w:name w:val="Table Normal47"/>
    <w:tblPr>
      <w:tblCellMar>
        <w:top w:w="0" w:type="dxa"/>
        <w:left w:w="0" w:type="dxa"/>
        <w:bottom w:w="0" w:type="dxa"/>
        <w:right w:w="0" w:type="dxa"/>
      </w:tblCellMar>
    </w:tblPr>
  </w:style>
  <w:style w:type="table" w:customStyle="1" w:styleId="TableNormal46">
    <w:name w:val="Table Normal46"/>
    <w:tblPr>
      <w:tblCellMar>
        <w:top w:w="0" w:type="dxa"/>
        <w:left w:w="0" w:type="dxa"/>
        <w:bottom w:w="0" w:type="dxa"/>
        <w:right w:w="0" w:type="dxa"/>
      </w:tblCellMar>
    </w:tblPr>
  </w:style>
  <w:style w:type="table" w:customStyle="1" w:styleId="TableNormal45">
    <w:name w:val="Table Normal45"/>
    <w:tblPr>
      <w:tblCellMar>
        <w:top w:w="0" w:type="dxa"/>
        <w:left w:w="0" w:type="dxa"/>
        <w:bottom w:w="0" w:type="dxa"/>
        <w:right w:w="0" w:type="dxa"/>
      </w:tblCellMar>
    </w:tblPr>
  </w:style>
  <w:style w:type="table" w:customStyle="1" w:styleId="TableNormal44">
    <w:name w:val="Table Normal44"/>
    <w:tblPr>
      <w:tblCellMar>
        <w:top w:w="0" w:type="dxa"/>
        <w:left w:w="0" w:type="dxa"/>
        <w:bottom w:w="0" w:type="dxa"/>
        <w:right w:w="0" w:type="dxa"/>
      </w:tblCellMar>
    </w:tblPr>
  </w:style>
  <w:style w:type="table" w:customStyle="1" w:styleId="TableNormal43">
    <w:name w:val="Table Normal43"/>
    <w:tblPr>
      <w:tblCellMar>
        <w:top w:w="0" w:type="dxa"/>
        <w:left w:w="0" w:type="dxa"/>
        <w:bottom w:w="0" w:type="dxa"/>
        <w:right w:w="0" w:type="dxa"/>
      </w:tblCellMar>
    </w:tblPr>
  </w:style>
  <w:style w:type="table" w:customStyle="1" w:styleId="TableNormal42">
    <w:name w:val="Table Normal42"/>
    <w:tblPr>
      <w:tblCellMar>
        <w:top w:w="0" w:type="dxa"/>
        <w:left w:w="0" w:type="dxa"/>
        <w:bottom w:w="0" w:type="dxa"/>
        <w:right w:w="0" w:type="dxa"/>
      </w:tblCellMar>
    </w:tblPr>
  </w:style>
  <w:style w:type="table" w:customStyle="1" w:styleId="TableNormal41">
    <w:name w:val="Table Normal41"/>
    <w:tblPr>
      <w:tblCellMar>
        <w:top w:w="0" w:type="dxa"/>
        <w:left w:w="0" w:type="dxa"/>
        <w:bottom w:w="0" w:type="dxa"/>
        <w:right w:w="0" w:type="dxa"/>
      </w:tblCellMar>
    </w:tblPr>
  </w:style>
  <w:style w:type="table" w:customStyle="1" w:styleId="TableNormal40">
    <w:name w:val="Table Normal40"/>
    <w:tblPr>
      <w:tblCellMar>
        <w:top w:w="0" w:type="dxa"/>
        <w:left w:w="0" w:type="dxa"/>
        <w:bottom w:w="0" w:type="dxa"/>
        <w:right w:w="0" w:type="dxa"/>
      </w:tblCellMar>
    </w:tblPr>
  </w:style>
  <w:style w:type="table" w:customStyle="1" w:styleId="TableNormal39">
    <w:name w:val="Table Normal39"/>
    <w:tblPr>
      <w:tblCellMar>
        <w:top w:w="0" w:type="dxa"/>
        <w:left w:w="0" w:type="dxa"/>
        <w:bottom w:w="0" w:type="dxa"/>
        <w:right w:w="0" w:type="dxa"/>
      </w:tblCellMar>
    </w:tblPr>
  </w:style>
  <w:style w:type="table" w:customStyle="1" w:styleId="TableNormal38">
    <w:name w:val="Table Normal38"/>
    <w:tblPr>
      <w:tblCellMar>
        <w:top w:w="0" w:type="dxa"/>
        <w:left w:w="0" w:type="dxa"/>
        <w:bottom w:w="0" w:type="dxa"/>
        <w:right w:w="0" w:type="dxa"/>
      </w:tblCellMar>
    </w:tblPr>
  </w:style>
  <w:style w:type="table" w:customStyle="1" w:styleId="TableNormal37">
    <w:name w:val="Table Normal37"/>
    <w:tblPr>
      <w:tblCellMar>
        <w:top w:w="0" w:type="dxa"/>
        <w:left w:w="0" w:type="dxa"/>
        <w:bottom w:w="0" w:type="dxa"/>
        <w:right w:w="0" w:type="dxa"/>
      </w:tblCellMar>
    </w:tblPr>
  </w:style>
  <w:style w:type="table" w:customStyle="1" w:styleId="TableNormal36">
    <w:name w:val="Table Normal36"/>
    <w:tblPr>
      <w:tblCellMar>
        <w:top w:w="0" w:type="dxa"/>
        <w:left w:w="0" w:type="dxa"/>
        <w:bottom w:w="0" w:type="dxa"/>
        <w:right w:w="0" w:type="dxa"/>
      </w:tblCellMar>
    </w:tblPr>
  </w:style>
  <w:style w:type="table" w:customStyle="1" w:styleId="TableNormal35">
    <w:name w:val="Table Normal35"/>
    <w:tblPr>
      <w:tblCellMar>
        <w:top w:w="0" w:type="dxa"/>
        <w:left w:w="0" w:type="dxa"/>
        <w:bottom w:w="0" w:type="dxa"/>
        <w:right w:w="0" w:type="dxa"/>
      </w:tblCellMar>
    </w:tblPr>
  </w:style>
  <w:style w:type="table" w:customStyle="1" w:styleId="TableNormal34">
    <w:name w:val="Table Normal34"/>
    <w:tblPr>
      <w:tblCellMar>
        <w:top w:w="0" w:type="dxa"/>
        <w:left w:w="0" w:type="dxa"/>
        <w:bottom w:w="0" w:type="dxa"/>
        <w:right w:w="0" w:type="dxa"/>
      </w:tblCellMar>
    </w:tblPr>
  </w:style>
  <w:style w:type="table" w:customStyle="1" w:styleId="TableNormal33">
    <w:name w:val="Table Normal33"/>
    <w:tblPr>
      <w:tblCellMar>
        <w:top w:w="0" w:type="dxa"/>
        <w:left w:w="0" w:type="dxa"/>
        <w:bottom w:w="0" w:type="dxa"/>
        <w:right w:w="0" w:type="dxa"/>
      </w:tblCellMar>
    </w:tblPr>
  </w:style>
  <w:style w:type="table" w:customStyle="1" w:styleId="TableNormal32">
    <w:name w:val="Table Normal32"/>
    <w:tblPr>
      <w:tblCellMar>
        <w:top w:w="0" w:type="dxa"/>
        <w:left w:w="0" w:type="dxa"/>
        <w:bottom w:w="0" w:type="dxa"/>
        <w:right w:w="0" w:type="dxa"/>
      </w:tblCellMar>
    </w:tblPr>
  </w:style>
  <w:style w:type="table" w:customStyle="1" w:styleId="TableNormal31">
    <w:name w:val="Table Normal31"/>
    <w:tblPr>
      <w:tblCellMar>
        <w:top w:w="0" w:type="dxa"/>
        <w:left w:w="0" w:type="dxa"/>
        <w:bottom w:w="0" w:type="dxa"/>
        <w:right w:w="0" w:type="dxa"/>
      </w:tblCellMar>
    </w:tblPr>
  </w:style>
  <w:style w:type="table" w:customStyle="1" w:styleId="TableNormal30">
    <w:name w:val="Table Normal30"/>
    <w:tblPr>
      <w:tblCellMar>
        <w:top w:w="0" w:type="dxa"/>
        <w:left w:w="0" w:type="dxa"/>
        <w:bottom w:w="0" w:type="dxa"/>
        <w:right w:w="0" w:type="dxa"/>
      </w:tblCellMar>
    </w:tblPr>
  </w:style>
  <w:style w:type="table" w:customStyle="1" w:styleId="TableNormal29">
    <w:name w:val="Table Normal29"/>
    <w:tblPr>
      <w:tblCellMar>
        <w:top w:w="0" w:type="dxa"/>
        <w:left w:w="0" w:type="dxa"/>
        <w:bottom w:w="0" w:type="dxa"/>
        <w:right w:w="0" w:type="dxa"/>
      </w:tblCellMar>
    </w:tblPr>
  </w:style>
  <w:style w:type="table" w:customStyle="1" w:styleId="TableNormal28">
    <w:name w:val="Table Normal28"/>
    <w:tblPr>
      <w:tblCellMar>
        <w:top w:w="0" w:type="dxa"/>
        <w:left w:w="0" w:type="dxa"/>
        <w:bottom w:w="0" w:type="dxa"/>
        <w:right w:w="0" w:type="dxa"/>
      </w:tblCellMar>
    </w:tblPr>
  </w:style>
  <w:style w:type="table" w:customStyle="1" w:styleId="TableNormal27">
    <w:name w:val="Table Normal27"/>
    <w:tblPr>
      <w:tblCellMar>
        <w:top w:w="0" w:type="dxa"/>
        <w:left w:w="0" w:type="dxa"/>
        <w:bottom w:w="0" w:type="dxa"/>
        <w:right w:w="0" w:type="dxa"/>
      </w:tblCellMar>
    </w:tblPr>
  </w:style>
  <w:style w:type="table" w:customStyle="1" w:styleId="TableNormal26">
    <w:name w:val="Table Normal26"/>
    <w:tblPr>
      <w:tblCellMar>
        <w:top w:w="0" w:type="dxa"/>
        <w:left w:w="0" w:type="dxa"/>
        <w:bottom w:w="0" w:type="dxa"/>
        <w:right w:w="0" w:type="dxa"/>
      </w:tblCellMar>
    </w:tblPr>
  </w:style>
  <w:style w:type="table" w:customStyle="1" w:styleId="TableNormal25">
    <w:name w:val="Table Normal25"/>
    <w:tblPr>
      <w:tblCellMar>
        <w:top w:w="0" w:type="dxa"/>
        <w:left w:w="0" w:type="dxa"/>
        <w:bottom w:w="0" w:type="dxa"/>
        <w:right w:w="0" w:type="dxa"/>
      </w:tblCellMar>
    </w:tblPr>
  </w:style>
  <w:style w:type="table" w:customStyle="1" w:styleId="TableNormal24">
    <w:name w:val="Table Normal24"/>
    <w:tblPr>
      <w:tblCellMar>
        <w:top w:w="0" w:type="dxa"/>
        <w:left w:w="0" w:type="dxa"/>
        <w:bottom w:w="0" w:type="dxa"/>
        <w:right w:w="0" w:type="dxa"/>
      </w:tblCellMar>
    </w:tblPr>
  </w:style>
  <w:style w:type="table" w:customStyle="1" w:styleId="TableNormal23">
    <w:name w:val="Table Normal23"/>
    <w:tblPr>
      <w:tblCellMar>
        <w:top w:w="0" w:type="dxa"/>
        <w:left w:w="0" w:type="dxa"/>
        <w:bottom w:w="0" w:type="dxa"/>
        <w:right w:w="0" w:type="dxa"/>
      </w:tblCellMar>
    </w:tblPr>
  </w:style>
  <w:style w:type="table" w:customStyle="1" w:styleId="TableNormal22">
    <w:name w:val="Table Normal22"/>
    <w:tblPr>
      <w:tblCellMar>
        <w:top w:w="0" w:type="dxa"/>
        <w:left w:w="0" w:type="dxa"/>
        <w:bottom w:w="0" w:type="dxa"/>
        <w:right w:w="0" w:type="dxa"/>
      </w:tblCellMar>
    </w:tblPr>
  </w:style>
  <w:style w:type="table" w:customStyle="1" w:styleId="TableNormal21">
    <w:name w:val="Table Normal21"/>
    <w:tblPr>
      <w:tblCellMar>
        <w:top w:w="0" w:type="dxa"/>
        <w:left w:w="0" w:type="dxa"/>
        <w:bottom w:w="0" w:type="dxa"/>
        <w:right w:w="0" w:type="dxa"/>
      </w:tblCellMar>
    </w:tblPr>
  </w:style>
  <w:style w:type="table" w:customStyle="1" w:styleId="TableNormal20">
    <w:name w:val="Table Normal20"/>
    <w:tblPr>
      <w:tblCellMar>
        <w:top w:w="0" w:type="dxa"/>
        <w:left w:w="0" w:type="dxa"/>
        <w:bottom w:w="0" w:type="dxa"/>
        <w:right w:w="0" w:type="dxa"/>
      </w:tblCellMar>
    </w:tblPr>
  </w:style>
  <w:style w:type="table" w:customStyle="1" w:styleId="TableNormal19">
    <w:name w:val="Table Normal19"/>
    <w:tblPr>
      <w:tblCellMar>
        <w:top w:w="0" w:type="dxa"/>
        <w:left w:w="0" w:type="dxa"/>
        <w:bottom w:w="0" w:type="dxa"/>
        <w:right w:w="0" w:type="dxa"/>
      </w:tblCellMar>
    </w:tblPr>
  </w:style>
  <w:style w:type="table" w:customStyle="1" w:styleId="TableNormal18">
    <w:name w:val="Table Normal18"/>
    <w:tblPr>
      <w:tblCellMar>
        <w:top w:w="0" w:type="dxa"/>
        <w:left w:w="0" w:type="dxa"/>
        <w:bottom w:w="0" w:type="dxa"/>
        <w:right w:w="0" w:type="dxa"/>
      </w:tblCellMar>
    </w:tblPr>
  </w:style>
  <w:style w:type="table" w:customStyle="1" w:styleId="TableNormal17">
    <w:name w:val="Table Normal17"/>
    <w:tblPr>
      <w:tblCellMar>
        <w:top w:w="0" w:type="dxa"/>
        <w:left w:w="0" w:type="dxa"/>
        <w:bottom w:w="0" w:type="dxa"/>
        <w:right w:w="0" w:type="dxa"/>
      </w:tblCellMar>
    </w:tblPr>
  </w:style>
  <w:style w:type="table" w:customStyle="1" w:styleId="TableNormal16">
    <w:name w:val="Table Normal16"/>
    <w:tblPr>
      <w:tblCellMar>
        <w:top w:w="0" w:type="dxa"/>
        <w:left w:w="0" w:type="dxa"/>
        <w:bottom w:w="0" w:type="dxa"/>
        <w:right w:w="0" w:type="dxa"/>
      </w:tblCellMar>
    </w:tblPr>
  </w:style>
  <w:style w:type="table" w:customStyle="1" w:styleId="TableNormal15">
    <w:name w:val="Table Normal15"/>
    <w:tblPr>
      <w:tblCellMar>
        <w:top w:w="0" w:type="dxa"/>
        <w:left w:w="0" w:type="dxa"/>
        <w:bottom w:w="0" w:type="dxa"/>
        <w:right w:w="0" w:type="dxa"/>
      </w:tblCellMar>
    </w:tblPr>
  </w:style>
  <w:style w:type="table" w:customStyle="1" w:styleId="TableNormal14">
    <w:name w:val="Table Normal14"/>
    <w:tblPr>
      <w:tblCellMar>
        <w:top w:w="0" w:type="dxa"/>
        <w:left w:w="0" w:type="dxa"/>
        <w:bottom w:w="0" w:type="dxa"/>
        <w:right w:w="0" w:type="dxa"/>
      </w:tblCellMar>
    </w:tblPr>
  </w:style>
  <w:style w:type="table" w:customStyle="1" w:styleId="TableNormal13">
    <w:name w:val="Table Normal13"/>
    <w:tblPr>
      <w:tblCellMar>
        <w:top w:w="0" w:type="dxa"/>
        <w:left w:w="0" w:type="dxa"/>
        <w:bottom w:w="0" w:type="dxa"/>
        <w:right w:w="0" w:type="dxa"/>
      </w:tblCellMar>
    </w:tblPr>
  </w:style>
  <w:style w:type="table" w:customStyle="1" w:styleId="TableNormal12">
    <w:name w:val="Table Normal12"/>
    <w:tblPr>
      <w:tblCellMar>
        <w:top w:w="0" w:type="dxa"/>
        <w:left w:w="0" w:type="dxa"/>
        <w:bottom w:w="0" w:type="dxa"/>
        <w:right w:w="0" w:type="dxa"/>
      </w:tblCellMar>
    </w:tblPr>
  </w:style>
  <w:style w:type="table" w:customStyle="1" w:styleId="TableNormal11">
    <w:name w:val="Table Normal11"/>
    <w:tblPr>
      <w:tblCellMar>
        <w:top w:w="0" w:type="dxa"/>
        <w:left w:w="0" w:type="dxa"/>
        <w:bottom w:w="0" w:type="dxa"/>
        <w:right w:w="0" w:type="dxa"/>
      </w:tblCellMar>
    </w:tblPr>
  </w:style>
  <w:style w:type="table" w:customStyle="1" w:styleId="TableNormal10">
    <w:name w:val="Table Normal10"/>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TableNormal9">
    <w:name w:val="Table Normal9"/>
    <w:tblPr>
      <w:tblCellMar>
        <w:top w:w="0" w:type="dxa"/>
        <w:left w:w="0" w:type="dxa"/>
        <w:bottom w:w="0" w:type="dxa"/>
        <w:right w:w="0" w:type="dxa"/>
      </w:tblCellMar>
    </w:tblPr>
  </w:style>
  <w:style w:type="table" w:customStyle="1" w:styleId="TableNormal8">
    <w:name w:val="Table Normal8"/>
    <w:tblPr>
      <w:tblCellMar>
        <w:top w:w="0" w:type="dxa"/>
        <w:left w:w="0" w:type="dxa"/>
        <w:bottom w:w="0" w:type="dxa"/>
        <w:right w:w="0" w:type="dxa"/>
      </w:tblCellMar>
    </w:tblPr>
  </w:style>
  <w:style w:type="table" w:customStyle="1" w:styleId="TableNormal7">
    <w:name w:val="Table Normal7"/>
    <w:tblPr>
      <w:tblCellMar>
        <w:top w:w="0" w:type="dxa"/>
        <w:left w:w="0" w:type="dxa"/>
        <w:bottom w:w="0" w:type="dxa"/>
        <w:right w:w="0" w:type="dxa"/>
      </w:tblCellMar>
    </w:tblPr>
  </w:style>
  <w:style w:type="character" w:styleId="Hipervnculo">
    <w:name w:val="Hyperlink"/>
    <w:basedOn w:val="Fuentedeprrafopredeter"/>
    <w:uiPriority w:val="99"/>
    <w:unhideWhenUsed/>
    <w:rsid w:val="0038611D"/>
    <w:rPr>
      <w:color w:val="0000FF" w:themeColor="hyperlink"/>
      <w:u w:val="single"/>
    </w:rPr>
  </w:style>
  <w:style w:type="table" w:customStyle="1" w:styleId="TableNormal6">
    <w:name w:val="Table Normal6"/>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customStyle="1" w:styleId="1">
    <w:name w:val="1"/>
    <w:basedOn w:val="TableNormal1"/>
    <w:tblPr>
      <w:tblStyleRowBandSize w:val="1"/>
      <w:tblStyleColBandSize w:val="1"/>
      <w:tblCellMar>
        <w:top w:w="100" w:type="dxa"/>
        <w:left w:w="100" w:type="dxa"/>
        <w:bottom w:w="100" w:type="dxa"/>
        <w:right w:w="100" w:type="dxa"/>
      </w:tblCellMar>
    </w:tblPr>
  </w:style>
  <w:style w:type="table" w:customStyle="1" w:styleId="a">
    <w:basedOn w:val="TableNormal0"/>
    <w:tblPr>
      <w:tblStyleRowBandSize w:val="1"/>
      <w:tblStyleColBandSize w:val="1"/>
      <w:tblCellMar>
        <w:top w:w="100" w:type="dxa"/>
        <w:left w:w="100" w:type="dxa"/>
        <w:bottom w:w="100" w:type="dxa"/>
        <w:right w:w="100" w:type="dxa"/>
      </w:tblCellMar>
    </w:tblPr>
  </w:style>
  <w:style w:type="character" w:styleId="Mencinsinresolver">
    <w:name w:val="Unresolved Mention"/>
    <w:basedOn w:val="Fuentedeprrafopredeter"/>
    <w:uiPriority w:val="99"/>
    <w:semiHidden/>
    <w:unhideWhenUsed/>
    <w:rsid w:val="002735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undaciontelefonica.com.ar/exposiciones/conectados-una-mirada-a-la-tecnologia-que-nos-acerc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RSCFqJEbUVZCZlaBtAq15vdJZHA==">AMUW2mWpDPUsRiRascg1QqnkK+hE9eyvTgAndSNuPEhmCrL96W8QxpXouHtt6Ps/vBZAgNeFf1hXrZC5mIQtwjE/kdD/+jg9tvIeQjP580Cw+ytTT3Vd8dI=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2845</Characters>
  <Application>Microsoft Office Word</Application>
  <DocSecurity>0</DocSecurity>
  <Lines>23</Lines>
  <Paragraphs>6</Paragraphs>
  <ScaleCrop>false</ScaleCrop>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Gramigni</dc:creator>
  <cp:lastModifiedBy>Ivana Gramigni</cp:lastModifiedBy>
  <cp:revision>3</cp:revision>
  <dcterms:created xsi:type="dcterms:W3CDTF">2022-06-16T14:46:00Z</dcterms:created>
  <dcterms:modified xsi:type="dcterms:W3CDTF">2023-01-25T14:07:00Z</dcterms:modified>
</cp:coreProperties>
</file>