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0066ff"/>
          <w:sz w:val="36"/>
          <w:szCs w:val="36"/>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color w:val="0066ff"/>
          <w:sz w:val="36"/>
          <w:szCs w:val="36"/>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color w:val="0066ff"/>
          <w:sz w:val="36"/>
          <w:szCs w:val="36"/>
        </w:rPr>
      </w:pPr>
      <w:r w:rsidDel="00000000" w:rsidR="00000000" w:rsidRPr="00000000">
        <w:rPr>
          <w:rFonts w:ascii="Arial" w:cs="Arial" w:eastAsia="Arial" w:hAnsi="Arial"/>
          <w:b w:val="1"/>
          <w:color w:val="0066ff"/>
          <w:sz w:val="36"/>
          <w:szCs w:val="36"/>
          <w:rtl w:val="0"/>
        </w:rPr>
        <w:t xml:space="preserve">OEA y ProFuturo presentan un mapa con las mejores prácticas en educación digital de las Américas</w:t>
      </w:r>
    </w:p>
    <w:p w:rsidR="00000000" w:rsidDel="00000000" w:rsidP="00000000" w:rsidRDefault="00000000" w:rsidRPr="00000000" w14:paraId="00000004">
      <w:pPr>
        <w:jc w:val="both"/>
        <w:rPr>
          <w:rFonts w:ascii="Arial" w:cs="Arial" w:eastAsia="Arial" w:hAnsi="Arial"/>
          <w:b w:val="1"/>
          <w:color w:val="0066ff"/>
          <w:sz w:val="36"/>
          <w:szCs w:val="36"/>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La Organización de los Estados Americanos (OEA) y ProFuturo, programa de educación digital de </w:t>
      </w:r>
      <w:r w:rsidDel="00000000" w:rsidR="00000000" w:rsidRPr="00000000">
        <w:rPr>
          <w:rFonts w:ascii="Arial" w:cs="Arial" w:eastAsia="Arial" w:hAnsi="Arial"/>
          <w:b w:val="1"/>
          <w:i w:val="0"/>
          <w:smallCaps w:val="0"/>
          <w:strike w:val="0"/>
          <w:color w:val="808080"/>
          <w:sz w:val="24"/>
          <w:szCs w:val="24"/>
          <w:u w:val="none"/>
          <w:shd w:fill="auto" w:val="clear"/>
          <w:vertAlign w:val="baseline"/>
          <w:rtl w:val="0"/>
        </w:rPr>
        <w:t xml:space="preserve">Fundación Telefónica Movistar</w:t>
      </w: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 y Fundación La Caixa”, han identificado las experiencias más innovadoras para la mejora de la calidad educativa de la región.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Los resultados del mapeo se pueden descubrir en un mapa interactivo en inglés y en español que recoge más de 100 prácticas seleccionadas y en un </w:t>
      </w:r>
      <w:r w:rsidDel="00000000" w:rsidR="00000000" w:rsidRPr="00000000">
        <w:rPr>
          <w:rFonts w:ascii="Arial" w:cs="Arial" w:eastAsia="Arial" w:hAnsi="Arial"/>
          <w:color w:val="808080"/>
          <w:sz w:val="24"/>
          <w:szCs w:val="24"/>
          <w:rtl w:val="0"/>
        </w:rPr>
        <w:t xml:space="preserve">informe que profundiza en las 30 prácticas más destacadas.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color w:val="808080"/>
          <w:sz w:val="24"/>
          <w:szCs w:val="24"/>
          <w:rtl w:val="0"/>
        </w:rPr>
        <w:t xml:space="preserve">De la Argentina se destacan proyectos impulsados por Chequeado, Asociación Atalaya Sur. Proyecto Comunidad y el Colegio Nacional de Monserrat.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color w:val="808080"/>
          <w:sz w:val="24"/>
          <w:szCs w:val="24"/>
        </w:rPr>
      </w:pPr>
      <w:r w:rsidDel="00000000" w:rsidR="00000000" w:rsidRPr="00000000">
        <w:rPr>
          <w:rtl w:val="0"/>
        </w:rPr>
      </w:r>
    </w:p>
    <w:p w:rsidR="00000000" w:rsidDel="00000000" w:rsidP="00000000" w:rsidRDefault="00000000" w:rsidRPr="00000000" w14:paraId="00000009">
      <w:pPr>
        <w:jc w:val="both"/>
        <w:rPr>
          <w:rFonts w:ascii="Arial" w:cs="Arial" w:eastAsia="Arial" w:hAnsi="Arial"/>
          <w:color w:val="808080"/>
          <w:sz w:val="24"/>
          <w:szCs w:val="24"/>
        </w:rPr>
      </w:pPr>
      <w:r w:rsidDel="00000000" w:rsidR="00000000" w:rsidRPr="00000000">
        <w:rPr>
          <w:rFonts w:ascii="Arial" w:cs="Arial" w:eastAsia="Arial" w:hAnsi="Arial"/>
          <w:b w:val="1"/>
          <w:color w:val="808080"/>
          <w:sz w:val="24"/>
          <w:szCs w:val="24"/>
          <w:rtl w:val="0"/>
        </w:rPr>
        <w:t xml:space="preserve">Buenos Aires</w:t>
      </w:r>
      <w:r w:rsidDel="00000000" w:rsidR="00000000" w:rsidRPr="00000000">
        <w:rPr>
          <w:rFonts w:ascii="Arial" w:cs="Arial" w:eastAsia="Arial" w:hAnsi="Arial"/>
          <w:b w:val="1"/>
          <w:color w:val="808080"/>
          <w:sz w:val="24"/>
          <w:szCs w:val="24"/>
          <w:rtl w:val="0"/>
        </w:rPr>
        <w:t xml:space="preserve">, mayo de 2023.</w:t>
      </w:r>
      <w:r w:rsidDel="00000000" w:rsidR="00000000" w:rsidRPr="00000000">
        <w:rPr>
          <w:rFonts w:ascii="Arial" w:cs="Arial" w:eastAsia="Arial" w:hAnsi="Arial"/>
          <w:color w:val="808080"/>
          <w:sz w:val="24"/>
          <w:szCs w:val="24"/>
          <w:rtl w:val="0"/>
        </w:rPr>
        <w:t xml:space="preserve"> – La Organización de los Estados Americanos (OEA) y ProFuturo, el programa de educación digital de </w:t>
      </w:r>
      <w:r w:rsidDel="00000000" w:rsidR="00000000" w:rsidRPr="00000000">
        <w:rPr>
          <w:rFonts w:ascii="Arial" w:cs="Arial" w:eastAsia="Arial" w:hAnsi="Arial"/>
          <w:b w:val="1"/>
          <w:color w:val="808080"/>
          <w:sz w:val="24"/>
          <w:szCs w:val="24"/>
          <w:rtl w:val="0"/>
        </w:rPr>
        <w:t xml:space="preserve">Fundación Telefónica Movistar</w:t>
      </w:r>
      <w:r w:rsidDel="00000000" w:rsidR="00000000" w:rsidRPr="00000000">
        <w:rPr>
          <w:rFonts w:ascii="Arial" w:cs="Arial" w:eastAsia="Arial" w:hAnsi="Arial"/>
          <w:color w:val="808080"/>
          <w:sz w:val="24"/>
          <w:szCs w:val="24"/>
          <w:rtl w:val="0"/>
        </w:rPr>
        <w:t xml:space="preserve"> y Fundación “la Caixa” presentan los resultados del Mapeo de Buenas Prácticas en Educación Digital de las Américas, que reconoce experiencias educativas innovadoras impulsadas por escuelas, docentes y Organizaciones de la Sociedad Civil (OSC). Todas ellas se basan en la tecnología y en metodologías pedagógicas innovadoras como palancas para la transformación educativa en diversos contextos, con foco en los entornos y colectivos vulnerables y desde una perspectiva de género. </w:t>
      </w:r>
    </w:p>
    <w:p w:rsidR="00000000" w:rsidDel="00000000" w:rsidP="00000000" w:rsidRDefault="00000000" w:rsidRPr="00000000" w14:paraId="0000000A">
      <w:pPr>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La convocatoria recibió 165 postulaciones de 17 países, de las cuales se han seleccionado 118 prácticas que pueden ser conocidas a través de un mapa interactivo en inglés y en español alojado en el Portal Educativo de la OEA. Además, el comité evaluador ha destacado a las 30 mejores prácticas que puede consultarse en el informe </w:t>
      </w:r>
      <w:hyperlink r:id="rId7">
        <w:r w:rsidDel="00000000" w:rsidR="00000000" w:rsidRPr="00000000">
          <w:rPr>
            <w:rFonts w:ascii="Arial" w:cs="Arial" w:eastAsia="Arial" w:hAnsi="Arial"/>
            <w:b w:val="1"/>
            <w:color w:val="0563c1"/>
            <w:sz w:val="24"/>
            <w:szCs w:val="24"/>
            <w:u w:val="single"/>
            <w:rtl w:val="0"/>
          </w:rPr>
          <w:t xml:space="preserve">“Educación Digital en las Américas: Buenas Prácticas para Inspirar”.</w:t>
        </w:r>
      </w:hyperlink>
      <w:r w:rsidDel="00000000" w:rsidR="00000000" w:rsidRPr="00000000">
        <w:rPr>
          <w:rtl w:val="0"/>
        </w:rPr>
      </w:r>
    </w:p>
    <w:p w:rsidR="00000000" w:rsidDel="00000000" w:rsidP="00000000" w:rsidRDefault="00000000" w:rsidRPr="00000000" w14:paraId="0000000B">
      <w:pPr>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Colombia es el país que ha resultado con mayor representación en el mapa (30 %), seguido de México (22 %), Ecuador (21 %), Argentina (13 %) y Perú (9 %). Las buenas prácticas también se han encontrado en Belice, Bolivia, Brasil, Chile, Costa Rica, El Salvador, Estados Unidos, Guatemala, Nicaragua, Paraguay, Uruguay y Venezuela.</w:t>
      </w:r>
    </w:p>
    <w:p w:rsidR="00000000" w:rsidDel="00000000" w:rsidP="00000000" w:rsidRDefault="00000000" w:rsidRPr="00000000" w14:paraId="0000000C">
      <w:pPr>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El proyecto, desarrollado en el marco de la Alianza de la OEA con ProFuturo, busca visibilizar prácticas que contribuyan a la mejora de la calidad educativa de América Latina y el Caribe abordando los principales desafíos educativos pospandemia. Se han valorado, entre otros criterios, el enfoque basado en derechos humanos y equidad, el nivel de innovación, la capacidad de ser sostenible en el tiempo y replicable en otros contextos, así como la integración de tecnologías que favorecen la implicación del estudiantado con la escuela, la recuperación de aprendizajes o el desarrollo de competencias. </w:t>
      </w:r>
    </w:p>
    <w:p w:rsidR="00000000" w:rsidDel="00000000" w:rsidP="00000000" w:rsidRDefault="00000000" w:rsidRPr="00000000" w14:paraId="0000000D">
      <w:pPr>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“Este mapeo supone un primer paso necesario para registrar prácticas pedagógicas innovadoras y escalables que hagan posible un movimiento de mejora continua, global y local para la transformación imprescindible de los procesos de enseñanza-aprendizaje en la región a través del empoderamiento de docentes, directores de escuela y familias”, señala Javier González Casado, portavoz de ProFuturo y miembro del comité evaluador de las prácticas, en el que también ha participado la Red Interamericana de Educación Docente (RIED) y referentes independientes en el ámbito de la innovación educativa. </w:t>
      </w:r>
    </w:p>
    <w:p w:rsidR="00000000" w:rsidDel="00000000" w:rsidP="00000000" w:rsidRDefault="00000000" w:rsidRPr="00000000" w14:paraId="0000000E">
      <w:pPr>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"Este mapa, además, representa un reconocimiento a los esfuerzos diarios de múltiples profesores y educadores, para crear soluciones que promuevan el derecho a la educación y el uso adecuado de las tecnologías digitales en el ámbito pedagógico", agrega Mónica Hernández, directora de la Fundación Telefónica Movistar Colombia.</w:t>
      </w:r>
    </w:p>
    <w:p w:rsidR="00000000" w:rsidDel="00000000" w:rsidP="00000000" w:rsidRDefault="00000000" w:rsidRPr="00000000" w14:paraId="0000000F">
      <w:pPr>
        <w:jc w:val="both"/>
        <w:rPr>
          <w:rFonts w:ascii="Arial" w:cs="Arial" w:eastAsia="Arial" w:hAnsi="Arial"/>
          <w:b w:val="1"/>
          <w:color w:val="808080"/>
          <w:sz w:val="24"/>
          <w:szCs w:val="24"/>
        </w:rPr>
      </w:pPr>
      <w:r w:rsidDel="00000000" w:rsidR="00000000" w:rsidRPr="00000000">
        <w:rPr>
          <w:rFonts w:ascii="Arial" w:cs="Arial" w:eastAsia="Arial" w:hAnsi="Arial"/>
          <w:b w:val="1"/>
          <w:color w:val="808080"/>
          <w:sz w:val="24"/>
          <w:szCs w:val="24"/>
          <w:rtl w:val="0"/>
        </w:rPr>
        <w:t xml:space="preserve">De campamentos y huertas comunitarias STEM a “Alfabetización Mediática Informacional” para transformar la educación</w:t>
      </w:r>
    </w:p>
    <w:p w:rsidR="00000000" w:rsidDel="00000000" w:rsidP="00000000" w:rsidRDefault="00000000" w:rsidRPr="00000000" w14:paraId="00000010">
      <w:pPr>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Del mapeo se destacan 30 buenas prácticas que se enfocan en 5 grandes propósitos: fomento de capacidades y habilidades STEM; fomento de la lectura y de la comprensión lectora; apropiación e identidad cultural; fomento de habilidades del aprender a aprender (AaA); y disminución de barreras de aprendizaje en estudiantes con discapacidad. </w:t>
      </w:r>
    </w:p>
    <w:p w:rsidR="00000000" w:rsidDel="00000000" w:rsidP="00000000" w:rsidRDefault="00000000" w:rsidRPr="00000000" w14:paraId="00000011">
      <w:pPr>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Entre ellas se encuentran propuestas creativas e innovadoras que no solo están diseñadas para beneficiar a niños, niñas y jóvenes, sino que tienen también un impacto positivo en sus familias y en la comunidad. </w:t>
      </w:r>
    </w:p>
    <w:p w:rsidR="00000000" w:rsidDel="00000000" w:rsidP="00000000" w:rsidRDefault="00000000" w:rsidRPr="00000000" w14:paraId="00000012">
      <w:pPr>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Otros ejemplos que sobresalen por su enfoque diferenciador son los campamentos o las huertas comunitarias STEM. Las huertas surgieron en la Institución Educativa Municipal Montessori sede San Francisco, de Colombia, a raíz de la pandemia por COVID-19 con el objetivo de contribuir a la seguridad alimentaria de las familias. El proyecto permitió que los estudiantes colaboraran con sus familias en el diseño y el cultivo de las huertas mientras adquirían competencias STEM de forma práctica. </w:t>
      </w:r>
    </w:p>
    <w:p w:rsidR="00000000" w:rsidDel="00000000" w:rsidP="00000000" w:rsidRDefault="00000000" w:rsidRPr="00000000" w14:paraId="00000013">
      <w:pPr>
        <w:jc w:val="both"/>
        <w:rPr>
          <w:rFonts w:ascii="Arial" w:cs="Arial" w:eastAsia="Arial" w:hAnsi="Arial"/>
          <w:color w:val="333333"/>
          <w:sz w:val="21"/>
          <w:szCs w:val="21"/>
          <w:highlight w:val="white"/>
        </w:rPr>
      </w:pPr>
      <w:r w:rsidDel="00000000" w:rsidR="00000000" w:rsidRPr="00000000">
        <w:rPr>
          <w:rFonts w:ascii="Arial" w:cs="Arial" w:eastAsia="Arial" w:hAnsi="Arial"/>
          <w:color w:val="808080"/>
          <w:sz w:val="24"/>
          <w:szCs w:val="24"/>
          <w:rtl w:val="0"/>
        </w:rPr>
        <w:t xml:space="preserve">Otra experiencia interesante es la Promoción de la Alfabetización Mediática Informacional (AMI), con énfasis en habilidades de pensamiento crítico impulsado por la Organización Social Chequeado. Incluyó contenido y recursos originales, experimentando con diversos formatos como la producción de secuencias didácticas con guías y recursos audiovisuales con recomendaciones prácticas para no caer en desinformaciones y cómo identificar contenidos falsos y/o engañosos.</w:t>
      </w:r>
      <w:r w:rsidDel="00000000" w:rsidR="00000000" w:rsidRPr="00000000">
        <w:rPr>
          <w:rtl w:val="0"/>
        </w:rPr>
      </w:r>
    </w:p>
    <w:p w:rsidR="00000000" w:rsidDel="00000000" w:rsidP="00000000" w:rsidRDefault="00000000" w:rsidRPr="00000000" w14:paraId="00000014">
      <w:pPr>
        <w:jc w:val="both"/>
        <w:rPr>
          <w:rFonts w:ascii="Arial" w:cs="Arial" w:eastAsia="Arial" w:hAnsi="Arial"/>
          <w:color w:val="808080"/>
          <w:sz w:val="24"/>
          <w:szCs w:val="24"/>
        </w:rPr>
      </w:pPr>
      <w:bookmarkStart w:colFirst="0" w:colLast="0" w:name="_heading=h.gjdgxs" w:id="0"/>
      <w:bookmarkEnd w:id="0"/>
      <w:r w:rsidDel="00000000" w:rsidR="00000000" w:rsidRPr="00000000">
        <w:rPr>
          <w:rFonts w:ascii="Arial" w:cs="Arial" w:eastAsia="Arial" w:hAnsi="Arial"/>
          <w:color w:val="808080"/>
          <w:sz w:val="24"/>
          <w:szCs w:val="24"/>
          <w:rtl w:val="0"/>
        </w:rPr>
        <w:t xml:space="preserve">Entre los aprendizajes resultantes del trabajo de las buenas prácticas en los centros educativos, destacan el fortalecimiento de los vínculos, la importancia de entender al estudiante como protagonista de su proceso de aprendizaje, el valor de las TIC como aliadas de un aprendizaje transformador, la creación de nuevas formas de aprendizaje gracias a la integración de metodologías pedagógicas innovadoras y la importancia de los datos y la evaluación para la toma de decisiones basada en evidencias. </w:t>
      </w:r>
    </w:p>
    <w:p w:rsidR="00000000" w:rsidDel="00000000" w:rsidP="00000000" w:rsidRDefault="00000000" w:rsidRPr="00000000" w14:paraId="00000015">
      <w:pPr>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En caso de tener consultas al respecto del Mapa o el informe de Buenas Prácticas en Educación Digital de Las Américas, por favor contactar a </w:t>
      </w:r>
      <w:hyperlink r:id="rId8">
        <w:r w:rsidDel="00000000" w:rsidR="00000000" w:rsidRPr="00000000">
          <w:rPr>
            <w:rFonts w:ascii="Arial" w:cs="Arial" w:eastAsia="Arial" w:hAnsi="Arial"/>
            <w:color w:val="0563c1"/>
            <w:sz w:val="24"/>
            <w:szCs w:val="24"/>
            <w:u w:val="single"/>
            <w:rtl w:val="0"/>
          </w:rPr>
          <w:t xml:space="preserve">apelizzari@oas.org</w:t>
        </w:r>
      </w:hyperlink>
      <w:r w:rsidDel="00000000" w:rsidR="00000000" w:rsidRPr="00000000">
        <w:rPr>
          <w:rFonts w:ascii="Arial" w:cs="Arial" w:eastAsia="Arial" w:hAnsi="Arial"/>
          <w:color w:val="808080"/>
          <w:sz w:val="24"/>
          <w:szCs w:val="24"/>
          <w:rtl w:val="0"/>
        </w:rPr>
        <w:t xml:space="preserve">  o a </w:t>
      </w:r>
      <w:hyperlink r:id="rId9">
        <w:r w:rsidDel="00000000" w:rsidR="00000000" w:rsidRPr="00000000">
          <w:rPr>
            <w:rFonts w:ascii="Arial" w:cs="Arial" w:eastAsia="Arial" w:hAnsi="Arial"/>
            <w:color w:val="0563c1"/>
            <w:sz w:val="24"/>
            <w:szCs w:val="24"/>
            <w:u w:val="single"/>
            <w:rtl w:val="0"/>
          </w:rPr>
          <w:t xml:space="preserve">cpacheco@oas.org</w:t>
        </w:r>
      </w:hyperlink>
      <w:r w:rsidDel="00000000" w:rsidR="00000000" w:rsidRPr="00000000">
        <w:rPr>
          <w:rFonts w:ascii="Arial" w:cs="Arial" w:eastAsia="Arial" w:hAnsi="Arial"/>
          <w:color w:val="808080"/>
          <w:sz w:val="24"/>
          <w:szCs w:val="24"/>
          <w:rtl w:val="0"/>
        </w:rPr>
        <w:t xml:space="preserve">.</w:t>
      </w:r>
    </w:p>
    <w:p w:rsidR="00000000" w:rsidDel="00000000" w:rsidP="00000000" w:rsidRDefault="00000000" w:rsidRPr="00000000" w14:paraId="00000016">
      <w:pPr>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Más información en </w:t>
      </w:r>
      <w:hyperlink r:id="rId10">
        <w:r w:rsidDel="00000000" w:rsidR="00000000" w:rsidRPr="00000000">
          <w:rPr>
            <w:rFonts w:ascii="Arial" w:cs="Arial" w:eastAsia="Arial" w:hAnsi="Arial"/>
            <w:color w:val="808080"/>
            <w:sz w:val="24"/>
            <w:szCs w:val="24"/>
            <w:rtl w:val="0"/>
          </w:rPr>
          <w:t xml:space="preserve">www.fundaciontelefonica.ar</w:t>
        </w:r>
      </w:hyperlink>
      <w:r w:rsidDel="00000000" w:rsidR="00000000" w:rsidRPr="00000000">
        <w:rPr>
          <w:rtl w:val="0"/>
        </w:rPr>
      </w:r>
    </w:p>
    <w:p w:rsidR="00000000" w:rsidDel="00000000" w:rsidP="00000000" w:rsidRDefault="00000000" w:rsidRPr="00000000" w14:paraId="00000017">
      <w:pPr>
        <w:jc w:val="both"/>
        <w:rPr>
          <w:rFonts w:ascii="Arial" w:cs="Arial" w:eastAsia="Arial" w:hAnsi="Arial"/>
          <w:color w:val="808080"/>
          <w:sz w:val="24"/>
          <w:szCs w:val="24"/>
        </w:rPr>
      </w:pPr>
      <w:r w:rsidDel="00000000" w:rsidR="00000000" w:rsidRPr="00000000">
        <w:rPr>
          <w:rtl w:val="0"/>
        </w:rPr>
      </w:r>
    </w:p>
    <w:p w:rsidR="00000000" w:rsidDel="00000000" w:rsidP="00000000" w:rsidRDefault="00000000" w:rsidRPr="00000000" w14:paraId="00000018">
      <w:pPr>
        <w:tabs>
          <w:tab w:val="left" w:leader="none" w:pos="3520"/>
        </w:tabs>
        <w:spacing w:after="0" w:line="240" w:lineRule="auto"/>
        <w:ind w:right="283"/>
        <w:jc w:val="both"/>
        <w:rPr>
          <w:rFonts w:ascii="Arial" w:cs="Arial" w:eastAsia="Arial" w:hAnsi="Arial"/>
          <w:b w:val="1"/>
          <w:color w:val="5b9bd5"/>
          <w:sz w:val="18"/>
          <w:szCs w:val="18"/>
        </w:rPr>
      </w:pPr>
      <w:r w:rsidDel="00000000" w:rsidR="00000000" w:rsidRPr="00000000">
        <w:rPr>
          <w:rtl w:val="0"/>
        </w:rPr>
      </w:r>
    </w:p>
    <w:p w:rsidR="00000000" w:rsidDel="00000000" w:rsidP="00000000" w:rsidRDefault="00000000" w:rsidRPr="00000000" w14:paraId="00000019">
      <w:pPr>
        <w:tabs>
          <w:tab w:val="left" w:leader="none" w:pos="3520"/>
        </w:tabs>
        <w:spacing w:after="0" w:line="240" w:lineRule="auto"/>
        <w:ind w:right="283"/>
        <w:jc w:val="both"/>
        <w:rPr>
          <w:rFonts w:ascii="Arial" w:cs="Arial" w:eastAsia="Arial" w:hAnsi="Arial"/>
          <w:b w:val="1"/>
          <w:color w:val="0070c0"/>
          <w:sz w:val="16"/>
          <w:szCs w:val="16"/>
        </w:rPr>
      </w:pPr>
      <w:r w:rsidDel="00000000" w:rsidR="00000000" w:rsidRPr="00000000">
        <w:rPr>
          <w:rFonts w:ascii="Arial" w:cs="Arial" w:eastAsia="Arial" w:hAnsi="Arial"/>
          <w:b w:val="1"/>
          <w:color w:val="0070c0"/>
          <w:sz w:val="16"/>
          <w:szCs w:val="16"/>
          <w:rtl w:val="0"/>
        </w:rPr>
        <w:t xml:space="preserve">Acerca de Fundación Telefónica Movistar</w:t>
      </w:r>
    </w:p>
    <w:p w:rsidR="00000000" w:rsidDel="00000000" w:rsidP="00000000" w:rsidRDefault="00000000" w:rsidRPr="00000000" w14:paraId="0000001A">
      <w:pPr>
        <w:spacing w:line="256" w:lineRule="auto"/>
        <w:jc w:val="both"/>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Fundación Telefónica Movistar es la entidad encargada de canalizar la acción social y cultural del Grupo Telefónica. Su misión es potenciar el aprendizaje y multiplicar el conocimiento, conectando personas e instituciones para contribuir al desarrollo de individuos y las colectividades que construyen la sociedad del futuro. </w:t>
      </w:r>
    </w:p>
    <w:p w:rsidR="00000000" w:rsidDel="00000000" w:rsidP="00000000" w:rsidRDefault="00000000" w:rsidRPr="00000000" w14:paraId="0000001B">
      <w:pPr>
        <w:spacing w:line="256" w:lineRule="auto"/>
        <w:jc w:val="both"/>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Le apuestan a construir un mundo digital y solidario. Su misión consiste en mejorar las oportunidades de desarrollo de las personas a Trabajan desde cuatro líneas estratégicas: Educación Digital (formación para docentes, estudiantes y padres de familia en apropiación y uso de las TIC, creatividad e innovación), Empleabilidad (desarrollo de habilidades digitales y de emprendimiento en jóvenes, adolescentes y adultos, para acercarlos a las profesiones del futuro), Conocimiento y Cultura Digital (Foros Telefónica, exposiciones y publicaciones) y Voluntariado Corporativo (vincular a colaboradores (as) en actividades sociales)</w:t>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4795520</wp:posOffset>
          </wp:positionH>
          <wp:positionV relativeFrom="paragraph">
            <wp:posOffset>-226998</wp:posOffset>
          </wp:positionV>
          <wp:extent cx="1207770" cy="564515"/>
          <wp:effectExtent b="0" l="0" r="0" t="0"/>
          <wp:wrapSquare wrapText="bothSides" distB="0" distT="0" distL="114300" distR="114300"/>
          <wp:docPr descr="Logotipo&#10;&#10;Descripción generada automáticamente con confianza media" id="4" name="image1.png"/>
          <a:graphic>
            <a:graphicData uri="http://schemas.openxmlformats.org/drawingml/2006/picture">
              <pic:pic>
                <pic:nvPicPr>
                  <pic:cNvPr descr="Logotipo&#10;&#10;Descripción generada automáticamente con confianza media" id="0" name="image1.png"/>
                  <pic:cNvPicPr preferRelativeResize="0"/>
                </pic:nvPicPr>
                <pic:blipFill>
                  <a:blip r:embed="rId1"/>
                  <a:srcRect b="0" l="0" r="0" t="0"/>
                  <a:stretch>
                    <a:fillRect/>
                  </a:stretch>
                </pic:blipFill>
                <pic:spPr>
                  <a:xfrm>
                    <a:off x="0" y="0"/>
                    <a:ext cx="1207770" cy="56451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31B7"/>
  </w:style>
  <w:style w:type="paragraph" w:styleId="Ttulo2">
    <w:name w:val="heading 2"/>
    <w:basedOn w:val="Normal"/>
    <w:link w:val="Ttulo2Car"/>
    <w:uiPriority w:val="9"/>
    <w:qFormat w:val="1"/>
    <w:rsid w:val="004F374B"/>
    <w:pPr>
      <w:spacing w:after="100" w:afterAutospacing="1" w:before="100" w:beforeAutospacing="1" w:line="240" w:lineRule="auto"/>
      <w:outlineLvl w:val="1"/>
    </w:pPr>
    <w:rPr>
      <w:rFonts w:ascii="Times New Roman" w:cs="Times New Roman" w:eastAsia="Times New Roman" w:hAnsi="Times New Roman"/>
      <w:b w:val="1"/>
      <w:bCs w:val="1"/>
      <w:sz w:val="36"/>
      <w:szCs w:val="36"/>
      <w:lang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aliases w:val="Bullet List,FooterText,List Paragraph1,numbered,Paragraphe de liste1,Bulletr List Paragraph,Bullet 1,Numbered Para 1,Dot pt,No Spacing1,List Paragraph Char Char Char,Indicator Text,Bullet Points,MAIN CONTENT,OBC Bullet,List Paragraph11"/>
    <w:basedOn w:val="Normal"/>
    <w:link w:val="PrrafodelistaCar"/>
    <w:uiPriority w:val="1"/>
    <w:qFormat w:val="1"/>
    <w:rsid w:val="007E1DA8"/>
    <w:pPr>
      <w:ind w:left="720"/>
      <w:contextualSpacing w:val="1"/>
    </w:pPr>
  </w:style>
  <w:style w:type="table" w:styleId="Tablaconcuadrcula">
    <w:name w:val="Table Grid"/>
    <w:basedOn w:val="Tablanormal"/>
    <w:uiPriority w:val="39"/>
    <w:rsid w:val="007E1DA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417803"/>
    <w:rPr>
      <w:color w:val="0563c1" w:themeColor="hyperlink"/>
      <w:u w:val="single"/>
    </w:rPr>
  </w:style>
  <w:style w:type="character" w:styleId="UnresolvedMention" w:customStyle="1">
    <w:name w:val="Unresolved Mention"/>
    <w:basedOn w:val="Fuentedeprrafopredeter"/>
    <w:uiPriority w:val="99"/>
    <w:semiHidden w:val="1"/>
    <w:unhideWhenUsed w:val="1"/>
    <w:rsid w:val="00417803"/>
    <w:rPr>
      <w:color w:val="605e5c"/>
      <w:shd w:color="auto" w:fill="e1dfdd" w:val="clear"/>
    </w:rPr>
  </w:style>
  <w:style w:type="character" w:styleId="Hipervnculovisitado">
    <w:name w:val="FollowedHyperlink"/>
    <w:basedOn w:val="Fuentedeprrafopredeter"/>
    <w:uiPriority w:val="99"/>
    <w:semiHidden w:val="1"/>
    <w:unhideWhenUsed w:val="1"/>
    <w:rsid w:val="00BA1E82"/>
    <w:rPr>
      <w:color w:val="954f72" w:themeColor="followedHyperlink"/>
      <w:u w:val="single"/>
    </w:rPr>
  </w:style>
  <w:style w:type="paragraph" w:styleId="Encabezado">
    <w:name w:val="header"/>
    <w:basedOn w:val="Normal"/>
    <w:link w:val="EncabezadoCar"/>
    <w:uiPriority w:val="99"/>
    <w:unhideWhenUsed w:val="1"/>
    <w:rsid w:val="00522FA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22FAB"/>
  </w:style>
  <w:style w:type="paragraph" w:styleId="Piedepgina">
    <w:name w:val="footer"/>
    <w:basedOn w:val="Normal"/>
    <w:link w:val="PiedepginaCar"/>
    <w:uiPriority w:val="99"/>
    <w:unhideWhenUsed w:val="1"/>
    <w:rsid w:val="00522FA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22FAB"/>
  </w:style>
  <w:style w:type="character" w:styleId="PrrafodelistaCar" w:customStyle="1">
    <w:name w:val="Párrafo de lista Car"/>
    <w:aliases w:val="Bullet List Car,FooterText Car,List Paragraph1 Car,numbered Car,Paragraphe de liste1 Car,Bulletr List Paragraph Car,Bullet 1 Car,Numbered Para 1 Car,Dot pt Car,No Spacing1 Car,List Paragraph Char Char Char Car,Indicator Text Car"/>
    <w:link w:val="Prrafodelista"/>
    <w:uiPriority w:val="34"/>
    <w:qFormat w:val="1"/>
    <w:locked w:val="1"/>
    <w:rsid w:val="00522FAB"/>
  </w:style>
  <w:style w:type="character" w:styleId="Refdecomentario">
    <w:name w:val="annotation reference"/>
    <w:basedOn w:val="Fuentedeprrafopredeter"/>
    <w:uiPriority w:val="99"/>
    <w:semiHidden w:val="1"/>
    <w:unhideWhenUsed w:val="1"/>
    <w:rsid w:val="00EE253E"/>
    <w:rPr>
      <w:sz w:val="16"/>
      <w:szCs w:val="16"/>
    </w:rPr>
  </w:style>
  <w:style w:type="paragraph" w:styleId="Textocomentario">
    <w:name w:val="annotation text"/>
    <w:basedOn w:val="Normal"/>
    <w:link w:val="TextocomentarioCar"/>
    <w:uiPriority w:val="99"/>
    <w:semiHidden w:val="1"/>
    <w:unhideWhenUsed w:val="1"/>
    <w:rsid w:val="00EE253E"/>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EE253E"/>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E253E"/>
    <w:rPr>
      <w:b w:val="1"/>
      <w:bCs w:val="1"/>
    </w:rPr>
  </w:style>
  <w:style w:type="character" w:styleId="AsuntodelcomentarioCar" w:customStyle="1">
    <w:name w:val="Asunto del comentario Car"/>
    <w:basedOn w:val="TextocomentarioCar"/>
    <w:link w:val="Asuntodelcomentario"/>
    <w:uiPriority w:val="99"/>
    <w:semiHidden w:val="1"/>
    <w:rsid w:val="00EE253E"/>
    <w:rPr>
      <w:b w:val="1"/>
      <w:bCs w:val="1"/>
      <w:sz w:val="20"/>
      <w:szCs w:val="20"/>
    </w:rPr>
  </w:style>
  <w:style w:type="paragraph" w:styleId="Revisin">
    <w:name w:val="Revision"/>
    <w:hidden w:val="1"/>
    <w:uiPriority w:val="99"/>
    <w:semiHidden w:val="1"/>
    <w:rsid w:val="00EE253E"/>
    <w:pPr>
      <w:spacing w:after="0" w:line="240" w:lineRule="auto"/>
    </w:pPr>
  </w:style>
  <w:style w:type="paragraph" w:styleId="Textodeglobo">
    <w:name w:val="Balloon Text"/>
    <w:basedOn w:val="Normal"/>
    <w:link w:val="TextodegloboCar"/>
    <w:uiPriority w:val="99"/>
    <w:semiHidden w:val="1"/>
    <w:unhideWhenUsed w:val="1"/>
    <w:rsid w:val="00EE253E"/>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E253E"/>
    <w:rPr>
      <w:rFonts w:ascii="Segoe UI" w:cs="Segoe UI" w:hAnsi="Segoe UI"/>
      <w:sz w:val="18"/>
      <w:szCs w:val="18"/>
    </w:rPr>
  </w:style>
  <w:style w:type="paragraph" w:styleId="Textoindependiente">
    <w:name w:val="Body Text"/>
    <w:basedOn w:val="Normal"/>
    <w:link w:val="TextoindependienteCar"/>
    <w:uiPriority w:val="1"/>
    <w:qFormat w:val="1"/>
    <w:rsid w:val="00FD3330"/>
    <w:pPr>
      <w:widowControl w:val="0"/>
      <w:autoSpaceDE w:val="0"/>
      <w:autoSpaceDN w:val="0"/>
      <w:spacing w:after="0" w:line="240" w:lineRule="auto"/>
    </w:pPr>
    <w:rPr>
      <w:rFonts w:ascii="Arial MT" w:cs="Arial MT" w:eastAsia="Arial MT" w:hAnsi="Arial MT"/>
      <w:sz w:val="24"/>
      <w:szCs w:val="24"/>
      <w:lang w:val="es-ES"/>
    </w:rPr>
  </w:style>
  <w:style w:type="character" w:styleId="TextoindependienteCar" w:customStyle="1">
    <w:name w:val="Texto independiente Car"/>
    <w:basedOn w:val="Fuentedeprrafopredeter"/>
    <w:link w:val="Textoindependiente"/>
    <w:uiPriority w:val="1"/>
    <w:rsid w:val="00FD3330"/>
    <w:rPr>
      <w:rFonts w:ascii="Arial MT" w:cs="Arial MT" w:eastAsia="Arial MT" w:hAnsi="Arial MT"/>
      <w:sz w:val="24"/>
      <w:szCs w:val="24"/>
      <w:lang w:val="es-ES"/>
    </w:rPr>
  </w:style>
  <w:style w:type="paragraph" w:styleId="NormalWeb">
    <w:name w:val="Normal (Web)"/>
    <w:basedOn w:val="Normal"/>
    <w:uiPriority w:val="99"/>
    <w:unhideWhenUsed w:val="1"/>
    <w:rsid w:val="003D1F08"/>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Textoennegrita">
    <w:name w:val="Strong"/>
    <w:basedOn w:val="Fuentedeprrafopredeter"/>
    <w:uiPriority w:val="22"/>
    <w:qFormat w:val="1"/>
    <w:rsid w:val="003D1F08"/>
    <w:rPr>
      <w:b w:val="1"/>
      <w:bCs w:val="1"/>
    </w:rPr>
  </w:style>
  <w:style w:type="character" w:styleId="Ttulo2Car" w:customStyle="1">
    <w:name w:val="Título 2 Car"/>
    <w:basedOn w:val="Fuentedeprrafopredeter"/>
    <w:link w:val="Ttulo2"/>
    <w:uiPriority w:val="9"/>
    <w:rsid w:val="004F374B"/>
    <w:rPr>
      <w:rFonts w:ascii="Times New Roman" w:cs="Times New Roman" w:eastAsia="Times New Roman" w:hAnsi="Times New Roman"/>
      <w:b w:val="1"/>
      <w:bCs w:val="1"/>
      <w:sz w:val="36"/>
      <w:szCs w:val="36"/>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fundaciontelefonica.ar"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pacheco@oas.org"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ortal.educoas.org/sites/default/files/nw/docs/Educacio%CC%81n%20Digital%20en%20las%20Ame%CC%81ricas-Buenas%20Pra%CC%81cticas%20para%20inspirar-V3.pdf" TargetMode="External"/><Relationship Id="rId8" Type="http://schemas.openxmlformats.org/officeDocument/2006/relationships/hyperlink" Target="mailto:apelizzari@oa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lp/xG90cS6bIRfHFfRycl/CSWw==">AMUW2mVS/l4uHgwSqJOPMSotU8R0/uFhGxo6dPsBDheYlGC/BOdzvgqN9eWzJi2WhYnlQd3bvJYEwqjIHJr/80hkr1h2wGNWyTD8mMSoq2AgYcZeW677yLs9I+oHFySjKyYblVEXFr7M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2023-04-19T18:34:00Z</dcterms:created>
  <dc:creator>PAMELA CASTILLO ROMAN</dc:creator>
</cp:coreProperties>
</file>