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66ff"/>
          <w:sz w:val="44"/>
          <w:szCs w:val="4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66ff"/>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color w:val="0066ff"/>
          <w:sz w:val="44"/>
          <w:szCs w:val="44"/>
          <w:u w:val="none"/>
          <w:shd w:fill="auto" w:val="clear"/>
          <w:vertAlign w:val="baseline"/>
        </w:rPr>
      </w:pPr>
      <w:r w:rsidDel="00000000" w:rsidR="00000000" w:rsidRPr="00000000">
        <w:rPr>
          <w:rFonts w:ascii="Arial" w:cs="Arial" w:eastAsia="Arial" w:hAnsi="Arial"/>
          <w:b w:val="1"/>
          <w:i w:val="0"/>
          <w:smallCaps w:val="0"/>
          <w:strike w:val="0"/>
          <w:color w:val="0066ff"/>
          <w:sz w:val="44"/>
          <w:szCs w:val="44"/>
          <w:u w:val="none"/>
          <w:shd w:fill="auto" w:val="clear"/>
          <w:vertAlign w:val="baseline"/>
          <w:rtl w:val="0"/>
        </w:rPr>
        <w:t xml:space="preserve">El futuro del trabajo, análisis central de la revista de divulgación de Fundación Telefónica Movistar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elefonica" w:cs="Telefonica" w:eastAsia="Telefonica" w:hAnsi="Telefonica"/>
          <w:b w:val="1"/>
          <w:i w:val="0"/>
          <w:smallCaps w:val="0"/>
          <w:strike w:val="0"/>
          <w:color w:val="1a1a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La edición 121 de la revista Telos aborda las nuevas oportunidades para resolver temas como el desarrollo de modelos más sostenibles, la conciliación y la igualdad, gracias al impacto de la tecnología en el trabajo.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La revista es de lectura online gratuita, puede descargarse en pdf y ofrece la posibilidad de suscripción anual.</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elefonica" w:cs="Telefonica" w:eastAsia="Telefonica" w:hAnsi="Telefonica"/>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1"/>
          <w:i w:val="0"/>
          <w:smallCaps w:val="0"/>
          <w:strike w:val="0"/>
          <w:color w:val="808080"/>
          <w:sz w:val="24"/>
          <w:szCs w:val="24"/>
          <w:u w:val="none"/>
          <w:shd w:fill="auto" w:val="clear"/>
          <w:vertAlign w:val="baseline"/>
          <w:rtl w:val="0"/>
        </w:rPr>
        <w:t xml:space="preserve">Buenos Aires, </w:t>
      </w:r>
      <w:r w:rsidDel="00000000" w:rsidR="00000000" w:rsidRPr="00000000">
        <w:rPr>
          <w:rFonts w:ascii="Arial" w:cs="Arial" w:eastAsia="Arial" w:hAnsi="Arial"/>
          <w:b w:val="1"/>
          <w:color w:val="808080"/>
          <w:sz w:val="24"/>
          <w:szCs w:val="24"/>
          <w:rtl w:val="0"/>
        </w:rPr>
        <w:t xml:space="preserve">15 </w:t>
      </w:r>
      <w:r w:rsidDel="00000000" w:rsidR="00000000" w:rsidRPr="00000000">
        <w:rPr>
          <w:rFonts w:ascii="Arial" w:cs="Arial" w:eastAsia="Arial" w:hAnsi="Arial"/>
          <w:b w:val="1"/>
          <w:i w:val="0"/>
          <w:smallCaps w:val="0"/>
          <w:strike w:val="0"/>
          <w:color w:val="808080"/>
          <w:sz w:val="24"/>
          <w:szCs w:val="24"/>
          <w:u w:val="none"/>
          <w:shd w:fill="auto" w:val="clear"/>
          <w:vertAlign w:val="baseline"/>
          <w:rtl w:val="0"/>
        </w:rPr>
        <w:t xml:space="preserve">de marzo.</w:t>
      </w: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 Telos se enmarca en las actividades del Área de Conocimiento en Red de Fundación Telefónica Movistar, encargada de la creación, el debate y la divulgación del conocimiento.</w:t>
      </w:r>
      <w:r w:rsidDel="00000000" w:rsidR="00000000" w:rsidRPr="00000000">
        <w:rPr>
          <w:rFonts w:ascii="Roboto Condensed" w:cs="Roboto Condensed" w:eastAsia="Roboto Condensed" w:hAnsi="Roboto Condensed"/>
          <w:b w:val="0"/>
          <w:i w:val="0"/>
          <w:smallCaps w:val="0"/>
          <w:strike w:val="0"/>
          <w:color w:val="333333"/>
          <w:sz w:val="29"/>
          <w:szCs w:val="29"/>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Es la revista para comprender el futuro y prepararnos para la sociedad digital en la que ya vivimos; analiza los avances tecnológicos y científicos y su impacto en todos los ámbitos de nuestra vida con el objetivo de conseguir la incorporación de nuestra sociedad, sin exclusiones, a la nueva realidad digital.</w:t>
      </w:r>
    </w:p>
    <w:p w:rsidR="00000000" w:rsidDel="00000000" w:rsidP="00000000" w:rsidRDefault="00000000" w:rsidRPr="00000000" w14:paraId="0000000A">
      <w:pPr>
        <w:spacing w:line="240" w:lineRule="auto"/>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La nueva edición de la revista dedica sus páginas a uno de los temas que más preocupa a la sociedad: El futuro del trabajo. Como </w:t>
      </w:r>
      <w:r w:rsidDel="00000000" w:rsidR="00000000" w:rsidRPr="00000000">
        <w:rPr>
          <w:rFonts w:ascii="Arial" w:cs="Arial" w:eastAsia="Arial" w:hAnsi="Arial"/>
          <w:color w:val="808080"/>
          <w:sz w:val="24"/>
          <w:szCs w:val="24"/>
          <w:rtl w:val="0"/>
        </w:rPr>
        <w:t xml:space="preserve">adelanta</w:t>
      </w:r>
      <w:r w:rsidDel="00000000" w:rsidR="00000000" w:rsidRPr="00000000">
        <w:rPr>
          <w:rFonts w:ascii="Arial" w:cs="Arial" w:eastAsia="Arial" w:hAnsi="Arial"/>
          <w:color w:val="808080"/>
          <w:sz w:val="24"/>
          <w:szCs w:val="24"/>
          <w:rtl w:val="0"/>
        </w:rPr>
        <w:t xml:space="preserve"> su director, Juan M. Zafra, en su presentación «no se trata ya de si habrá empleo o no, porque, como ha ocurrido en revoluciones anteriores unos desaparecerán y otros nuevos aparecerán, si no de cómo organizaremos nuestras vidas alrededor de esas actividades que dan sentido a nuestra existencia individual y en comunidad». El impacto de la tecnología en el trabajo está adelantando nuevas oportunidades para resolver cuestiones acuciantes como el despoblamiento de regiones enteras, el desarrollo de modelos más sostenibles, la conciliación y la igualdad. También nos coloca ante desafíos como la formación continua, la reforma de la educación, la actualización de la regulación laboral y de las relaciones en la empresa o el rediseño de la administración pública y de sus servicios.</w:t>
      </w:r>
    </w:p>
    <w:p w:rsidR="00000000" w:rsidDel="00000000" w:rsidP="00000000" w:rsidRDefault="00000000" w:rsidRPr="00000000" w14:paraId="0000000B">
      <w:pPr>
        <w:spacing w:line="240" w:lineRule="auto"/>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La revista se ha rodeado de expertos que nos ayudan a vislumbrar ese futuro desde diferentes puntos de vista. Joaquín Nieto, una de las voces más autorizadas para analizar los efectos de la revolución tecnológica, energética y social, reflexiona sobre cómo vamos a afrontar cuestiones esenciales cómo el combate contra el cambio climático, la desigualdad y la exclusión en el mundo con el trabajo como eje central de las mismas.</w:t>
      </w:r>
    </w:p>
    <w:p w:rsidR="00000000" w:rsidDel="00000000" w:rsidP="00000000" w:rsidRDefault="00000000" w:rsidRPr="00000000" w14:paraId="0000000C">
      <w:pPr>
        <w:spacing w:line="240" w:lineRule="auto"/>
        <w:jc w:val="both"/>
        <w:rPr>
          <w:rFonts w:ascii="Arial" w:cs="Arial" w:eastAsia="Arial" w:hAnsi="Arial"/>
          <w:color w:val="808080"/>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Arial" w:cs="Arial" w:eastAsia="Arial" w:hAnsi="Arial"/>
          <w:color w:val="808080"/>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Arial" w:cs="Arial" w:eastAsia="Arial" w:hAnsi="Arial"/>
          <w:color w:val="808080"/>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Arial" w:cs="Arial" w:eastAsia="Arial" w:hAnsi="Arial"/>
          <w:b w:val="1"/>
          <w:color w:val="808080"/>
          <w:sz w:val="24"/>
          <w:szCs w:val="24"/>
        </w:rPr>
      </w:pPr>
      <w:r w:rsidDel="00000000" w:rsidR="00000000" w:rsidRPr="00000000">
        <w:rPr>
          <w:rFonts w:ascii="Arial" w:cs="Arial" w:eastAsia="Arial" w:hAnsi="Arial"/>
          <w:b w:val="1"/>
          <w:color w:val="808080"/>
          <w:sz w:val="24"/>
          <w:szCs w:val="24"/>
          <w:rtl w:val="0"/>
        </w:rPr>
        <w:t xml:space="preserve">Un espacio abierto para analizar el futuro</w:t>
      </w:r>
    </w:p>
    <w:p w:rsidR="00000000" w:rsidDel="00000000" w:rsidP="00000000" w:rsidRDefault="00000000" w:rsidRPr="00000000" w14:paraId="00000010">
      <w:pPr>
        <w:spacing w:line="240" w:lineRule="auto"/>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Lucía Velasco abre la revista como autora invitada con el artículo Poder, vigilancia y tecnología. La autora del ensayo ¿Te va a sustituir un algoritmo? ofrece las primeras pistas para diseñar un futuro del trabajo no distópico.</w:t>
      </w:r>
    </w:p>
    <w:p w:rsidR="00000000" w:rsidDel="00000000" w:rsidP="00000000" w:rsidRDefault="00000000" w:rsidRPr="00000000" w14:paraId="00000011">
      <w:pPr>
        <w:spacing w:line="240" w:lineRule="auto"/>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El cuaderno central El futuro del trabajo, ilustrado íntegramente junto a la portada y el póster central por el artista Van Saiyan cuenta con seis artículos encabezados por Concha Arruga, que narra los 30 años de incesantes transiciones en Digitalización y relaciones laborales.  Junto a ella, Xavier</w:t>
      </w:r>
    </w:p>
    <w:p w:rsidR="00000000" w:rsidDel="00000000" w:rsidP="00000000" w:rsidRDefault="00000000" w:rsidRPr="00000000" w14:paraId="00000012">
      <w:pPr>
        <w:spacing w:line="240" w:lineRule="auto"/>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Marcet escribe sobre Papanatismo tecnológico, transformación y pervivencia del trabajo; Elsa Arnaiz se centra en la visión de los jóvenes en Generaciones consentidas buscando un futuro con sentido; Rául Sánchez trata cómo la digitalización afecta al diseño de las ciudades, las viviendas y los centros de trabajo en De tuaregs 4.0 a las ciudades del futuro; Anabel Suso aborda las políticas públicas para armonizar las nuevas formas de organización en ¿Pasa el futuro por el teletrabajo?; y cierra el cuaderno Ricardo Rodríguez con Cambio tecnológico y futuro del trabajo. Gobernar la transición digital precisa control democrático, social y económico.</w:t>
      </w:r>
    </w:p>
    <w:p w:rsidR="00000000" w:rsidDel="00000000" w:rsidP="00000000" w:rsidRDefault="00000000" w:rsidRPr="00000000" w14:paraId="00000013">
      <w:pPr>
        <w:spacing w:line="240" w:lineRule="auto"/>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La sección de Análisis también aborda el futuro del trabajo desde más perspectivas. Karina Gibert escribe sobre La importancia de la IA en el futuro del trabajo; Ana Sainz sobre El mercado de trabajo y su impacto social: Antonio Núñez sobre La Gran Renuncia en España; Raúl Oliván se imagina cómo serán los servicios públicos en una década en Carta de un agente público desde 2032, Borja Bergareche trata en La revolución flexible sobre cómo abordar la relación con el empleo en el futuro, y Olivia Blanchard del impacto de las plataformas digitales de trabajo.</w:t>
      </w:r>
    </w:p>
    <w:p w:rsidR="00000000" w:rsidDel="00000000" w:rsidP="00000000" w:rsidRDefault="00000000" w:rsidRPr="00000000" w14:paraId="00000014">
      <w:pPr>
        <w:spacing w:line="240" w:lineRule="auto"/>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En Experiencias contamos con dos artículos en primera persona que se detienen en dos temas de interés. John Arboleda comparte El método NKL: un nuevo tipo de liderazgo; y el artista Antonio García Villarán aporta su visión sobre un tema de máxima actualidad  ¿Acabarán las IAs con el trabajo de los artistas?.</w:t>
      </w:r>
    </w:p>
    <w:p w:rsidR="00000000" w:rsidDel="00000000" w:rsidP="00000000" w:rsidRDefault="00000000" w:rsidRPr="00000000" w14:paraId="00000015">
      <w:pPr>
        <w:spacing w:line="240" w:lineRule="auto"/>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TELOS 121 se cierra en Regulación con los artículos de Ignacio Muro sobre las transformaciones digitales y modelos de organización en La empresa republicana, y Juan Carlos Tejeda acerca de la cualificación para el empleo del futuro en Sin formación, no hay transformación. </w:t>
      </w:r>
    </w:p>
    <w:p w:rsidR="00000000" w:rsidDel="00000000" w:rsidP="00000000" w:rsidRDefault="00000000" w:rsidRPr="00000000" w14:paraId="00000016">
      <w:pPr>
        <w:spacing w:line="240" w:lineRule="auto"/>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Encontrá TELOS 121 en </w:t>
      </w:r>
      <w:hyperlink r:id="rId7">
        <w:r w:rsidDel="00000000" w:rsidR="00000000" w:rsidRPr="00000000">
          <w:rPr>
            <w:rFonts w:ascii="Arial" w:cs="Arial" w:eastAsia="Arial" w:hAnsi="Arial"/>
            <w:color w:val="0563c1"/>
            <w:sz w:val="24"/>
            <w:szCs w:val="24"/>
            <w:u w:val="single"/>
            <w:rtl w:val="0"/>
          </w:rPr>
          <w:t xml:space="preserve">https://www.fundaciontelefonica.com.ar/</w:t>
        </w:r>
      </w:hyperlink>
      <w:r w:rsidDel="00000000" w:rsidR="00000000" w:rsidRPr="00000000">
        <w:rPr>
          <w:rtl w:val="0"/>
        </w:rPr>
      </w:r>
    </w:p>
    <w:p w:rsidR="00000000" w:rsidDel="00000000" w:rsidP="00000000" w:rsidRDefault="00000000" w:rsidRPr="00000000" w14:paraId="00000017">
      <w:pPr>
        <w:spacing w:line="240" w:lineRule="auto"/>
        <w:jc w:val="both"/>
        <w:rPr>
          <w:rFonts w:ascii="Arial" w:cs="Arial" w:eastAsia="Arial" w:hAnsi="Arial"/>
          <w:b w:val="1"/>
          <w:color w:val="0066ff"/>
          <w:sz w:val="16"/>
          <w:szCs w:val="16"/>
        </w:rPr>
      </w:pPr>
      <w:r w:rsidDel="00000000" w:rsidR="00000000" w:rsidRPr="00000000">
        <w:rPr>
          <w:rtl w:val="0"/>
        </w:rPr>
      </w:r>
    </w:p>
    <w:p w:rsidR="00000000" w:rsidDel="00000000" w:rsidP="00000000" w:rsidRDefault="00000000" w:rsidRPr="00000000" w14:paraId="00000018">
      <w:pPr>
        <w:tabs>
          <w:tab w:val="left" w:leader="none" w:pos="3520"/>
        </w:tabs>
        <w:spacing w:after="0" w:line="240" w:lineRule="auto"/>
        <w:ind w:right="283"/>
        <w:rPr>
          <w:rFonts w:ascii="Arial" w:cs="Arial" w:eastAsia="Arial" w:hAnsi="Arial"/>
          <w:b w:val="1"/>
          <w:color w:val="0066ff"/>
          <w:sz w:val="16"/>
          <w:szCs w:val="16"/>
        </w:rPr>
      </w:pPr>
      <w:r w:rsidDel="00000000" w:rsidR="00000000" w:rsidRPr="00000000">
        <w:rPr>
          <w:rFonts w:ascii="Arial" w:cs="Arial" w:eastAsia="Arial" w:hAnsi="Arial"/>
          <w:b w:val="1"/>
          <w:color w:val="0066ff"/>
          <w:sz w:val="16"/>
          <w:szCs w:val="16"/>
          <w:rtl w:val="0"/>
        </w:rPr>
        <w:t xml:space="preserve">Acerca de Fundación Telefónica Movistar</w:t>
      </w:r>
    </w:p>
    <w:p w:rsidR="00000000" w:rsidDel="00000000" w:rsidP="00000000" w:rsidRDefault="00000000" w:rsidRPr="00000000" w14:paraId="00000019">
      <w:pPr>
        <w:tabs>
          <w:tab w:val="left" w:leader="none" w:pos="3520"/>
        </w:tabs>
        <w:spacing w:after="0" w:line="240" w:lineRule="auto"/>
        <w:ind w:right="283"/>
        <w:rPr>
          <w:rFonts w:ascii="Arial" w:cs="Arial" w:eastAsia="Arial" w:hAnsi="Arial"/>
          <w:b w:val="1"/>
          <w:color w:val="0070c0"/>
          <w:sz w:val="16"/>
          <w:szCs w:val="16"/>
        </w:rPr>
      </w:pPr>
      <w:r w:rsidDel="00000000" w:rsidR="00000000" w:rsidRPr="00000000">
        <w:rPr>
          <w:rtl w:val="0"/>
        </w:rPr>
      </w:r>
    </w:p>
    <w:p w:rsidR="00000000" w:rsidDel="00000000" w:rsidP="00000000" w:rsidRDefault="00000000" w:rsidRPr="00000000" w14:paraId="0000001A">
      <w:pPr>
        <w:tabs>
          <w:tab w:val="left" w:leader="none" w:pos="3520"/>
        </w:tabs>
        <w:spacing w:after="0" w:line="240" w:lineRule="auto"/>
        <w:ind w:right="283"/>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Fundación Telefónica Movistar es la entidad encargada de canalizar la acción social y cultural del Grupo Telefónica. Su misión es hacer nuestro mundo más humano impulsando un desarrollo digital inclusivo.</w:t>
      </w:r>
    </w:p>
    <w:p w:rsidR="00000000" w:rsidDel="00000000" w:rsidP="00000000" w:rsidRDefault="00000000" w:rsidRPr="00000000" w14:paraId="0000001B">
      <w:pPr>
        <w:tabs>
          <w:tab w:val="left" w:leader="none" w:pos="3520"/>
        </w:tabs>
        <w:spacing w:after="0" w:line="240" w:lineRule="auto"/>
        <w:ind w:right="283"/>
        <w:rPr>
          <w:rFonts w:ascii="Arial" w:cs="Arial" w:eastAsia="Arial" w:hAnsi="Arial"/>
          <w:color w:val="808080"/>
          <w:sz w:val="16"/>
          <w:szCs w:val="16"/>
        </w:rPr>
      </w:pPr>
      <w:bookmarkStart w:colFirst="0" w:colLast="0" w:name="_heading=h.30j0zll" w:id="1"/>
      <w:bookmarkEnd w:id="1"/>
      <w:r w:rsidDel="00000000" w:rsidR="00000000" w:rsidRPr="00000000">
        <w:rPr>
          <w:rFonts w:ascii="Arial" w:cs="Arial" w:eastAsia="Arial" w:hAnsi="Arial"/>
          <w:color w:val="808080"/>
          <w:sz w:val="16"/>
          <w:szCs w:val="16"/>
          <w:rtl w:val="0"/>
        </w:rPr>
        <w:t xml:space="preserve">Trabaja desde tres líneas estratégicas: Empleabilidad (desarrollo de habilidades digitales y de emprendimiento en jóvenes, adolescentes y adultos, para acercarlos a las profesiones del futuro), Educación Digital (formación para docentes, estudiantes y padres de familia en apropiación y uso de las TIC, creatividad e innovación) y Voluntariado Corporativo (vincular a colaboradores (as) en actividades sociales). En los últimos dos años un total de 5.036.357 personas de todo el país participaron en los diferentes proyectos y acciones impulsadas por la Fundación.</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elefonica"/>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9588500</wp:posOffset>
              </wp:positionV>
              <wp:extent cx="7781925" cy="276225"/>
              <wp:effectExtent b="0" l="0" r="0" t="0"/>
              <wp:wrapNone/>
              <wp:docPr descr="{&quot;HashCode&quot;:1696608652,&quot;Height&quot;:792.0,&quot;Width&quot;:612.0,&quot;Placement&quot;:&quot;Footer&quot;,&quot;Index&quot;:&quot;Primary&quot;,&quot;Section&quot;:1,&quot;Top&quot;:0.0,&quot;Left&quot;:0.0}" id="4" name=""/>
              <a:graphic>
                <a:graphicData uri="http://schemas.microsoft.com/office/word/2010/wordprocessingShape">
                  <wps:wsp>
                    <wps:cNvSpPr/>
                    <wps:cNvPr id="2" name="Shape 2"/>
                    <wps:spPr>
                      <a:xfrm>
                        <a:off x="1459800" y="3646650"/>
                        <a:ext cx="7772400" cy="266700"/>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9588500</wp:posOffset>
              </wp:positionV>
              <wp:extent cx="7781925" cy="276225"/>
              <wp:effectExtent b="0" l="0" r="0" t="0"/>
              <wp:wrapNone/>
              <wp:docPr descr="{&quot;HashCode&quot;:1696608652,&quot;Height&quot;:792.0,&quot;Width&quot;:612.0,&quot;Placement&quot;:&quot;Footer&quot;,&quot;Index&quot;:&quot;Primary&quot;,&quot;Section&quot;:1,&quot;Top&quot;:0.0,&quot;Left&quot;:0.0}" id="4" name="image2.png"/>
              <a:graphic>
                <a:graphicData uri="http://schemas.openxmlformats.org/drawingml/2006/picture">
                  <pic:pic>
                    <pic:nvPicPr>
                      <pic:cNvPr descr="{&quot;HashCode&quot;:1696608652,&quot;Height&quot;:792.0,&quot;Width&quot;:612.0,&quot;Placement&quot;:&quot;Footer&quot;,&quot;Index&quot;:&quot;Primary&quot;,&quot;Section&quot;:1,&quot;Top&quot;:0.0,&quot;Left&quot;:0.0}" id="0" name="image2.png"/>
                      <pic:cNvPicPr preferRelativeResize="0"/>
                    </pic:nvPicPr>
                    <pic:blipFill>
                      <a:blip r:embed="rId1"/>
                      <a:srcRect/>
                      <a:stretch>
                        <a:fillRect/>
                      </a:stretch>
                    </pic:blipFill>
                    <pic:spPr>
                      <a:xfrm>
                        <a:off x="0" y="0"/>
                        <a:ext cx="7781925" cy="2762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4795520</wp:posOffset>
          </wp:positionH>
          <wp:positionV relativeFrom="paragraph">
            <wp:posOffset>-226998</wp:posOffset>
          </wp:positionV>
          <wp:extent cx="1207770" cy="564515"/>
          <wp:effectExtent b="0" l="0" r="0" t="0"/>
          <wp:wrapSquare wrapText="bothSides" distB="0" distT="0" distL="114300" distR="114300"/>
          <wp:docPr descr="Logotipo&#10;&#10;Descripción generada automáticamente con confianza media" id="5" name="image1.png"/>
          <a:graphic>
            <a:graphicData uri="http://schemas.openxmlformats.org/drawingml/2006/picture">
              <pic:pic>
                <pic:nvPicPr>
                  <pic:cNvPr descr="Logotipo&#10;&#10;Descripción generada automáticamente con confianza media" id="0" name="image1.png"/>
                  <pic:cNvPicPr preferRelativeResize="0"/>
                </pic:nvPicPr>
                <pic:blipFill>
                  <a:blip r:embed="rId1"/>
                  <a:srcRect b="0" l="0" r="0" t="0"/>
                  <a:stretch>
                    <a:fillRect/>
                  </a:stretch>
                </pic:blipFill>
                <pic:spPr>
                  <a:xfrm>
                    <a:off x="0" y="0"/>
                    <a:ext cx="1207770" cy="56451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C31B7"/>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aliases w:val="Bullet List,FooterText,List Paragraph1,numbered,Paragraphe de liste1,Bulletr List Paragraph,Bullet 1,Numbered Para 1,Dot pt,No Spacing1,List Paragraph Char Char Char,Indicator Text,Bullet Points,MAIN CONTENT,OBC Bullet,List Paragraph11"/>
    <w:basedOn w:val="Normal"/>
    <w:link w:val="PrrafodelistaCar"/>
    <w:uiPriority w:val="1"/>
    <w:qFormat w:val="1"/>
    <w:rsid w:val="007E1DA8"/>
    <w:pPr>
      <w:ind w:left="720"/>
      <w:contextualSpacing w:val="1"/>
    </w:pPr>
  </w:style>
  <w:style w:type="table" w:styleId="Tablaconcuadrcula">
    <w:name w:val="Table Grid"/>
    <w:basedOn w:val="Tablanormal"/>
    <w:uiPriority w:val="39"/>
    <w:rsid w:val="007E1DA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417803"/>
    <w:rPr>
      <w:color w:val="0563c1" w:themeColor="hyperlink"/>
      <w:u w:val="single"/>
    </w:rPr>
  </w:style>
  <w:style w:type="character" w:styleId="Mencinsinresolver1" w:customStyle="1">
    <w:name w:val="Mención sin resolver1"/>
    <w:basedOn w:val="Fuentedeprrafopredeter"/>
    <w:uiPriority w:val="99"/>
    <w:semiHidden w:val="1"/>
    <w:unhideWhenUsed w:val="1"/>
    <w:rsid w:val="00417803"/>
    <w:rPr>
      <w:color w:val="605e5c"/>
      <w:shd w:color="auto" w:fill="e1dfdd" w:val="clear"/>
    </w:rPr>
  </w:style>
  <w:style w:type="character" w:styleId="Hipervnculovisitado">
    <w:name w:val="FollowedHyperlink"/>
    <w:basedOn w:val="Fuentedeprrafopredeter"/>
    <w:uiPriority w:val="99"/>
    <w:semiHidden w:val="1"/>
    <w:unhideWhenUsed w:val="1"/>
    <w:rsid w:val="00BA1E82"/>
    <w:rPr>
      <w:color w:val="954f72" w:themeColor="followedHyperlink"/>
      <w:u w:val="single"/>
    </w:rPr>
  </w:style>
  <w:style w:type="paragraph" w:styleId="Encabezado">
    <w:name w:val="header"/>
    <w:basedOn w:val="Normal"/>
    <w:link w:val="EncabezadoCar"/>
    <w:uiPriority w:val="99"/>
    <w:unhideWhenUsed w:val="1"/>
    <w:rsid w:val="00522FA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22FAB"/>
  </w:style>
  <w:style w:type="paragraph" w:styleId="Piedepgina">
    <w:name w:val="footer"/>
    <w:basedOn w:val="Normal"/>
    <w:link w:val="PiedepginaCar"/>
    <w:uiPriority w:val="99"/>
    <w:unhideWhenUsed w:val="1"/>
    <w:rsid w:val="00522FA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22FAB"/>
  </w:style>
  <w:style w:type="character" w:styleId="PrrafodelistaCar" w:customStyle="1">
    <w:name w:val="Párrafo de lista Car"/>
    <w:aliases w:val="Bullet List Car,FooterText Car,List Paragraph1 Car,numbered Car,Paragraphe de liste1 Car,Bulletr List Paragraph Car,Bullet 1 Car,Numbered Para 1 Car,Dot pt Car,No Spacing1 Car,List Paragraph Char Char Char Car,Indicator Text Car"/>
    <w:link w:val="Prrafodelista"/>
    <w:uiPriority w:val="1"/>
    <w:qFormat w:val="1"/>
    <w:locked w:val="1"/>
    <w:rsid w:val="00522FAB"/>
  </w:style>
  <w:style w:type="character" w:styleId="Refdecomentario">
    <w:name w:val="annotation reference"/>
    <w:basedOn w:val="Fuentedeprrafopredeter"/>
    <w:uiPriority w:val="99"/>
    <w:semiHidden w:val="1"/>
    <w:unhideWhenUsed w:val="1"/>
    <w:rsid w:val="00EE253E"/>
    <w:rPr>
      <w:sz w:val="16"/>
      <w:szCs w:val="16"/>
    </w:rPr>
  </w:style>
  <w:style w:type="paragraph" w:styleId="Textocomentario">
    <w:name w:val="annotation text"/>
    <w:basedOn w:val="Normal"/>
    <w:link w:val="TextocomentarioCar"/>
    <w:uiPriority w:val="99"/>
    <w:unhideWhenUsed w:val="1"/>
    <w:rsid w:val="00EE253E"/>
    <w:pPr>
      <w:spacing w:line="240" w:lineRule="auto"/>
    </w:pPr>
    <w:rPr>
      <w:sz w:val="20"/>
      <w:szCs w:val="20"/>
    </w:rPr>
  </w:style>
  <w:style w:type="character" w:styleId="TextocomentarioCar" w:customStyle="1">
    <w:name w:val="Texto comentario Car"/>
    <w:basedOn w:val="Fuentedeprrafopredeter"/>
    <w:link w:val="Textocomentario"/>
    <w:uiPriority w:val="99"/>
    <w:rsid w:val="00EE253E"/>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EE253E"/>
    <w:rPr>
      <w:b w:val="1"/>
      <w:bCs w:val="1"/>
    </w:rPr>
  </w:style>
  <w:style w:type="character" w:styleId="AsuntodelcomentarioCar" w:customStyle="1">
    <w:name w:val="Asunto del comentario Car"/>
    <w:basedOn w:val="TextocomentarioCar"/>
    <w:link w:val="Asuntodelcomentario"/>
    <w:uiPriority w:val="99"/>
    <w:semiHidden w:val="1"/>
    <w:rsid w:val="00EE253E"/>
    <w:rPr>
      <w:b w:val="1"/>
      <w:bCs w:val="1"/>
      <w:sz w:val="20"/>
      <w:szCs w:val="20"/>
    </w:rPr>
  </w:style>
  <w:style w:type="paragraph" w:styleId="Revisin">
    <w:name w:val="Revision"/>
    <w:hidden w:val="1"/>
    <w:uiPriority w:val="99"/>
    <w:semiHidden w:val="1"/>
    <w:rsid w:val="00EE253E"/>
    <w:pPr>
      <w:spacing w:after="0" w:line="240" w:lineRule="auto"/>
    </w:pPr>
  </w:style>
  <w:style w:type="paragraph" w:styleId="Textodeglobo">
    <w:name w:val="Balloon Text"/>
    <w:basedOn w:val="Normal"/>
    <w:link w:val="TextodegloboCar"/>
    <w:uiPriority w:val="99"/>
    <w:semiHidden w:val="1"/>
    <w:unhideWhenUsed w:val="1"/>
    <w:rsid w:val="00EE253E"/>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EE253E"/>
    <w:rPr>
      <w:rFonts w:ascii="Segoe UI" w:cs="Segoe UI" w:hAnsi="Segoe UI"/>
      <w:sz w:val="18"/>
      <w:szCs w:val="18"/>
    </w:rPr>
  </w:style>
  <w:style w:type="paragraph" w:styleId="Textoindependiente">
    <w:name w:val="Body Text"/>
    <w:basedOn w:val="Normal"/>
    <w:link w:val="TextoindependienteCar"/>
    <w:uiPriority w:val="1"/>
    <w:qFormat w:val="1"/>
    <w:rsid w:val="00FD3330"/>
    <w:pPr>
      <w:widowControl w:val="0"/>
      <w:autoSpaceDE w:val="0"/>
      <w:autoSpaceDN w:val="0"/>
      <w:spacing w:after="0" w:line="240" w:lineRule="auto"/>
    </w:pPr>
    <w:rPr>
      <w:rFonts w:ascii="Arial MT" w:cs="Arial MT" w:eastAsia="Arial MT" w:hAnsi="Arial MT"/>
      <w:sz w:val="24"/>
      <w:szCs w:val="24"/>
      <w:lang w:val="es-ES"/>
    </w:rPr>
  </w:style>
  <w:style w:type="character" w:styleId="TextoindependienteCar" w:customStyle="1">
    <w:name w:val="Texto independiente Car"/>
    <w:basedOn w:val="Fuentedeprrafopredeter"/>
    <w:link w:val="Textoindependiente"/>
    <w:uiPriority w:val="1"/>
    <w:rsid w:val="00FD3330"/>
    <w:rPr>
      <w:rFonts w:ascii="Arial MT" w:cs="Arial MT" w:eastAsia="Arial MT" w:hAnsi="Arial MT"/>
      <w:sz w:val="24"/>
      <w:szCs w:val="24"/>
      <w:lang w:val="es-ES"/>
    </w:rPr>
  </w:style>
  <w:style w:type="paragraph" w:styleId="NormalWeb">
    <w:name w:val="Normal (Web)"/>
    <w:basedOn w:val="Normal"/>
    <w:uiPriority w:val="99"/>
    <w:unhideWhenUsed w:val="1"/>
    <w:rsid w:val="003D1F08"/>
    <w:pPr>
      <w:spacing w:after="100" w:afterAutospacing="1" w:before="100" w:beforeAutospacing="1" w:line="240" w:lineRule="auto"/>
    </w:pPr>
    <w:rPr>
      <w:rFonts w:ascii="Times New Roman" w:cs="Times New Roman" w:eastAsia="Times New Roman" w:hAnsi="Times New Roman"/>
      <w:sz w:val="24"/>
      <w:szCs w:val="24"/>
      <w:lang w:eastAsia="es-CO"/>
    </w:rPr>
  </w:style>
  <w:style w:type="character" w:styleId="Textoennegrita">
    <w:name w:val="Strong"/>
    <w:basedOn w:val="Fuentedeprrafopredeter"/>
    <w:uiPriority w:val="22"/>
    <w:qFormat w:val="1"/>
    <w:rsid w:val="003D1F08"/>
    <w:rPr>
      <w:b w:val="1"/>
      <w:bCs w:val="1"/>
    </w:rPr>
  </w:style>
  <w:style w:type="paragraph" w:styleId="SubtituloTelefnica" w:customStyle="1">
    <w:name w:val="Subtitulo Telefónica"/>
    <w:basedOn w:val="Normal"/>
    <w:qFormat w:val="1"/>
    <w:rsid w:val="003F525A"/>
    <w:pPr>
      <w:tabs>
        <w:tab w:val="left" w:pos="3520"/>
      </w:tabs>
      <w:spacing w:after="0" w:line="240" w:lineRule="auto"/>
      <w:ind w:left="567"/>
      <w:contextualSpacing w:val="1"/>
    </w:pPr>
    <w:rPr>
      <w:rFonts w:asciiTheme="majorHAnsi" w:cstheme="majorHAnsi" w:eastAsiaTheme="minorEastAsia" w:hAnsiTheme="majorHAnsi"/>
      <w:b w:val="1"/>
      <w:bCs w:val="1"/>
      <w:color w:val="0066ff"/>
      <w:sz w:val="24"/>
      <w:szCs w:val="24"/>
      <w:lang w:val="en-US"/>
    </w:rPr>
  </w:style>
  <w:style w:type="paragraph" w:styleId="Sinespaciado">
    <w:name w:val="No Spacing"/>
    <w:uiPriority w:val="1"/>
    <w:qFormat w:val="1"/>
    <w:rsid w:val="003262BB"/>
    <w:pPr>
      <w:spacing w:after="0" w:line="240" w:lineRule="auto"/>
    </w:pPr>
  </w:style>
  <w:style w:type="character" w:styleId="UnresolvedMention" w:customStyle="1">
    <w:name w:val="Unresolved Mention"/>
    <w:basedOn w:val="Fuentedeprrafopredeter"/>
    <w:uiPriority w:val="99"/>
    <w:semiHidden w:val="1"/>
    <w:unhideWhenUsed w:val="1"/>
    <w:rsid w:val="00F65B52"/>
    <w:rPr>
      <w:color w:val="605e5c"/>
      <w:shd w:color="auto" w:fill="e1dfdd" w:val="clear"/>
    </w:rPr>
  </w:style>
  <w:style w:type="paragraph" w:styleId="cardtextentrevistas" w:customStyle="1">
    <w:name w:val="cardtextentrevistas"/>
    <w:basedOn w:val="Normal"/>
    <w:rsid w:val="005A526A"/>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undaciontelefonica.com.ar/"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JLSW7jlRJGTipEeMZSJVUNxX4A==">AMUW2mWwRLLCcRHty/kf+Z5rAHDoqd2mTGmC8SVnOucWkKjRNnOp6gNz4vJbFkx/CnaBBlgh1qh10/SQVrCmvAFTPP4M3YXyNw4TN00mc811eWz8SnlN3n2Oa9ijrR1PUF1eYi8/bL+X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2023-03-01T14:30:00Z</dcterms:created>
  <dc:creator>PAMELA CASTILLO ROMAN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5bd4d2-aa7c-445f-9ef8-222ebb1d2b43_Enabled">
    <vt:lpwstr>true</vt:lpwstr>
  </property>
  <property fmtid="{D5CDD505-2E9C-101B-9397-08002B2CF9AE}" pid="3" name="MSIP_Label_e65bd4d2-aa7c-445f-9ef8-222ebb1d2b43_SetDate">
    <vt:lpwstr>2022-12-19T14:46:21Z</vt:lpwstr>
  </property>
  <property fmtid="{D5CDD505-2E9C-101B-9397-08002B2CF9AE}" pid="4" name="MSIP_Label_e65bd4d2-aa7c-445f-9ef8-222ebb1d2b43_Method">
    <vt:lpwstr>Privileged</vt:lpwstr>
  </property>
  <property fmtid="{D5CDD505-2E9C-101B-9397-08002B2CF9AE}" pid="5" name="MSIP_Label_e65bd4d2-aa7c-445f-9ef8-222ebb1d2b43_Name">
    <vt:lpwstr>e65bd4d2-aa7c-445f-9ef8-222ebb1d2b43</vt:lpwstr>
  </property>
  <property fmtid="{D5CDD505-2E9C-101B-9397-08002B2CF9AE}" pid="6" name="MSIP_Label_e65bd4d2-aa7c-445f-9ef8-222ebb1d2b43_SiteId">
    <vt:lpwstr>9744600e-3e04-492e-baa1-25ec245c6f10</vt:lpwstr>
  </property>
  <property fmtid="{D5CDD505-2E9C-101B-9397-08002B2CF9AE}" pid="7" name="MSIP_Label_e65bd4d2-aa7c-445f-9ef8-222ebb1d2b43_ActionId">
    <vt:lpwstr>dd0065e9-188e-4218-ad92-10e65fa43214</vt:lpwstr>
  </property>
  <property fmtid="{D5CDD505-2E9C-101B-9397-08002B2CF9AE}" pid="8" name="MSIP_Label_e65bd4d2-aa7c-445f-9ef8-222ebb1d2b43_ContentBits">
    <vt:lpwstr>2</vt:lpwstr>
  </property>
</Properties>
</file>