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after="24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Fundación Telefónica Movistar lanza una nueva propuesta gratuita de formación docente</w:t>
      </w:r>
    </w:p>
    <w:p w:rsidR="00000000" w:rsidDel="00000000" w:rsidP="00000000" w:rsidRDefault="00000000" w:rsidRPr="00000000" w14:paraId="00000003">
      <w:pPr>
        <w:spacing w:after="240" w:line="240" w:lineRule="auto"/>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4">
      <w:pPr>
        <w:numPr>
          <w:ilvl w:val="0"/>
          <w:numId w:val="1"/>
        </w:numPr>
        <w:shd w:fill="ffffff" w:val="clear"/>
        <w:spacing w:after="200" w:before="280" w:lineRule="auto"/>
        <w:ind w:left="720" w:hanging="360"/>
        <w:jc w:val="both"/>
        <w:rPr>
          <w:rFonts w:ascii="Arial" w:cs="Arial" w:eastAsia="Arial" w:hAnsi="Arial"/>
          <w:color w:val="222222"/>
        </w:rPr>
      </w:pPr>
      <w:bookmarkStart w:colFirst="0" w:colLast="0" w:name="_heading=h.gjdgxs" w:id="0"/>
      <w:bookmarkEnd w:id="0"/>
      <w:r w:rsidDel="00000000" w:rsidR="00000000" w:rsidRPr="00000000">
        <w:rPr>
          <w:rFonts w:ascii="Arial" w:cs="Arial" w:eastAsia="Arial" w:hAnsi="Arial"/>
          <w:rtl w:val="0"/>
        </w:rPr>
        <w:t xml:space="preserve">Una Escuela de Conocimientos para docentes con cursos agrupados en temáticas y competencias que refuerza el compromiso con la educación de calidad a través de la tecnología y la innovación como motores de la transformación social. </w:t>
      </w:r>
      <w:r w:rsidDel="00000000" w:rsidR="00000000" w:rsidRPr="00000000">
        <w:rPr>
          <w:rtl w:val="0"/>
        </w:rPr>
      </w:r>
    </w:p>
    <w:p w:rsidR="00000000" w:rsidDel="00000000" w:rsidP="00000000" w:rsidRDefault="00000000" w:rsidRPr="00000000" w14:paraId="00000005">
      <w:pPr>
        <w:numPr>
          <w:ilvl w:val="0"/>
          <w:numId w:val="1"/>
        </w:numPr>
        <w:shd w:fill="ffffff" w:val="clear"/>
        <w:spacing w:after="200" w:before="280" w:lineRule="auto"/>
        <w:ind w:left="720" w:hanging="360"/>
        <w:jc w:val="both"/>
        <w:rPr>
          <w:rFonts w:ascii="Arial" w:cs="Arial" w:eastAsia="Arial" w:hAnsi="Arial"/>
          <w:color w:val="222222"/>
        </w:rPr>
      </w:pPr>
      <w:r w:rsidDel="00000000" w:rsidR="00000000" w:rsidRPr="00000000">
        <w:rPr>
          <w:rFonts w:ascii="Arial" w:cs="Arial" w:eastAsia="Arial" w:hAnsi="Arial"/>
          <w:rtl w:val="0"/>
        </w:rPr>
        <w:t xml:space="preserve">Se compone de cursos, talleres y webinars orientados a formar y proveer de recursos didácticos en términos de inteligencia emocional, convivencia, emprendimiento, y otras claves para el desarrollo sostenible.</w:t>
      </w:r>
      <w:r w:rsidDel="00000000" w:rsidR="00000000" w:rsidRPr="00000000">
        <w:rPr>
          <w:rtl w:val="0"/>
        </w:rPr>
      </w:r>
    </w:p>
    <w:p w:rsidR="00000000" w:rsidDel="00000000" w:rsidP="00000000" w:rsidRDefault="00000000" w:rsidRPr="00000000" w14:paraId="00000006">
      <w:pPr>
        <w:spacing w:after="240" w:line="240" w:lineRule="auto"/>
        <w:jc w:val="both"/>
        <w:rPr>
          <w:rFonts w:ascii="Arial" w:cs="Arial" w:eastAsia="Arial" w:hAnsi="Arial"/>
          <w:sz w:val="24"/>
          <w:szCs w:val="24"/>
        </w:rPr>
      </w:pPr>
      <w:r w:rsidDel="00000000" w:rsidR="00000000" w:rsidRPr="00000000">
        <w:rPr>
          <w:rFonts w:ascii="Arial Black" w:cs="Arial Black" w:eastAsia="Arial Black" w:hAnsi="Arial Black"/>
          <w:sz w:val="20"/>
          <w:szCs w:val="20"/>
          <w:rtl w:val="0"/>
        </w:rPr>
        <w:br w:type="textWrapping"/>
      </w:r>
      <w:r w:rsidDel="00000000" w:rsidR="00000000" w:rsidRPr="00000000">
        <w:rPr>
          <w:rFonts w:ascii="Arial" w:cs="Arial" w:eastAsia="Arial" w:hAnsi="Arial"/>
          <w:b w:val="1"/>
          <w:sz w:val="24"/>
          <w:szCs w:val="24"/>
          <w:rtl w:val="0"/>
        </w:rPr>
        <w:t xml:space="preserve">Buenos Aires, 20 de marzo de 2024 - </w:t>
      </w:r>
      <w:r w:rsidDel="00000000" w:rsidR="00000000" w:rsidRPr="00000000">
        <w:rPr>
          <w:rFonts w:ascii="Arial" w:cs="Arial" w:eastAsia="Arial" w:hAnsi="Arial"/>
          <w:sz w:val="24"/>
          <w:szCs w:val="24"/>
          <w:rtl w:val="0"/>
        </w:rPr>
        <w:t xml:space="preserve">Fundación Telefónica Movistar inicia un nuevo ciclo lectivo del programa de Educación Digital para docentes. En el marco de ProFuturo, el programa de Educación Digital que impulsan desde Fundación Telefónica Movistar junto con Fundación La Caixa, refuerzan su compromiso con la comunidad, aportando a la formación docente a través de experiencias educativas virtuales, alojadas en una plataforma digital y acompañada por especialistas.</w:t>
      </w:r>
    </w:p>
    <w:p w:rsidR="00000000" w:rsidDel="00000000" w:rsidP="00000000" w:rsidRDefault="00000000" w:rsidRPr="00000000" w14:paraId="00000007">
      <w:pPr>
        <w:spacing w:after="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año, diseñaron una nueva propuesta que reúne cursos certificados por el programa global, en función de las áreas temáticas y las competencias que se pueden desarrollar, tanto en docentes como en estudiantes. Asimismo, se agregan tutorías con especialistas para acompañar la experiencia formativa, talleres presenciales para profundizar conocimientos y webinars a cargo de expertos.</w:t>
      </w:r>
    </w:p>
    <w:p w:rsidR="00000000" w:rsidDel="00000000" w:rsidP="00000000" w:rsidRDefault="00000000" w:rsidRPr="00000000" w14:paraId="00000008">
      <w:pPr>
        <w:spacing w:after="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esta manera, la Fundación Telefónica Movistar acompaña el Ciclo Lectivo 2024 con una propuesta renovada y orientada a responder a algunas de las necesidades formativas que demanda la comunidad educativa.</w:t>
      </w:r>
    </w:p>
    <w:p w:rsidR="00000000" w:rsidDel="00000000" w:rsidP="00000000" w:rsidRDefault="00000000" w:rsidRPr="00000000" w14:paraId="00000009">
      <w:pPr>
        <w:spacing w:after="240" w:line="240" w:lineRule="auto"/>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“La transformación digital está generando un profundo impacto en el ámbito educativo, exigiendo cada día el fomento de nuevas competencias y habilidades tanto en educadores como en estudiantes. Como defensores de la innovación y la alfabetización digital, en Fundación Telefónica Movistar nos entusiasma apoyar y respaldar a los docentes en su desarrollo profesional y en la adopción de herramientas que faciliten la implementación de métodos de enseñanza innovadores"</w:t>
      </w:r>
      <w:r w:rsidDel="00000000" w:rsidR="00000000" w:rsidRPr="00000000">
        <w:rPr>
          <w:rFonts w:ascii="Arial" w:cs="Arial" w:eastAsia="Arial" w:hAnsi="Arial"/>
          <w:sz w:val="24"/>
          <w:szCs w:val="24"/>
          <w:rtl w:val="0"/>
        </w:rPr>
        <w:t xml:space="preserve">, manifestó Gustavo Blanco García Ordás, gerente de la Fundación Telefónica Movistar.</w:t>
      </w:r>
    </w:p>
    <w:p w:rsidR="00000000" w:rsidDel="00000000" w:rsidP="00000000" w:rsidRDefault="00000000" w:rsidRPr="00000000" w14:paraId="0000000A">
      <w:pPr>
        <w:spacing w:after="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año el programa incluye cursos orientados hacia la prevención, detección y actuación frente al acoso escolar; ciberbullying; dificultades del aprendizaje; dislexia en el aula; y cursos focalizados en la docencia digital, compartiendo sobre las diversas herramientas digitales, así como también sobre la navegación y gestión de la información.</w:t>
      </w:r>
    </w:p>
    <w:p w:rsidR="00000000" w:rsidDel="00000000" w:rsidP="00000000" w:rsidRDefault="00000000" w:rsidRPr="00000000" w14:paraId="0000000B">
      <w:pPr>
        <w:spacing w:after="24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¿Qué hay que hacer para participar?</w:t>
      </w:r>
    </w:p>
    <w:p w:rsidR="00000000" w:rsidDel="00000000" w:rsidP="00000000" w:rsidRDefault="00000000" w:rsidRPr="00000000" w14:paraId="0000000C">
      <w:pPr>
        <w:spacing w:after="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Para acceder a la Escuela de Conocimientos es necesario completar el </w:t>
      </w:r>
      <w:hyperlink r:id="rId7">
        <w:r w:rsidDel="00000000" w:rsidR="00000000" w:rsidRPr="00000000">
          <w:rPr>
            <w:rFonts w:ascii="Arial" w:cs="Arial" w:eastAsia="Arial" w:hAnsi="Arial"/>
            <w:color w:val="1155cc"/>
            <w:sz w:val="24"/>
            <w:szCs w:val="24"/>
            <w:u w:val="single"/>
            <w:rtl w:val="0"/>
          </w:rPr>
          <w:t xml:space="preserve">formulario de inscripción</w:t>
        </w:r>
      </w:hyperlink>
      <w:r w:rsidDel="00000000" w:rsidR="00000000" w:rsidRPr="00000000">
        <w:rPr>
          <w:rFonts w:ascii="Arial" w:cs="Arial" w:eastAsia="Arial" w:hAnsi="Arial"/>
          <w:sz w:val="24"/>
          <w:szCs w:val="24"/>
          <w:rtl w:val="0"/>
        </w:rPr>
        <w:t xml:space="preserve">, que encontrarás en </w:t>
      </w:r>
      <w:hyperlink r:id="rId8">
        <w:r w:rsidDel="00000000" w:rsidR="00000000" w:rsidRPr="00000000">
          <w:rPr>
            <w:rFonts w:ascii="Arial" w:cs="Arial" w:eastAsia="Arial" w:hAnsi="Arial"/>
            <w:color w:val="1155cc"/>
            <w:sz w:val="24"/>
            <w:szCs w:val="24"/>
            <w:u w:val="single"/>
            <w:rtl w:val="0"/>
          </w:rPr>
          <w:t xml:space="preserve">www.fundaciontelefonica.com.ar</w:t>
        </w:r>
      </w:hyperlink>
      <w:r w:rsidDel="00000000" w:rsidR="00000000" w:rsidRPr="00000000">
        <w:rPr>
          <w:rFonts w:ascii="Arial" w:cs="Arial" w:eastAsia="Arial" w:hAnsi="Arial"/>
          <w:sz w:val="24"/>
          <w:szCs w:val="24"/>
          <w:rtl w:val="0"/>
        </w:rPr>
        <w:t xml:space="preserve">, en la sección Educación.</w:t>
      </w:r>
    </w:p>
    <w:p w:rsidR="00000000" w:rsidDel="00000000" w:rsidP="00000000" w:rsidRDefault="00000000" w:rsidRPr="00000000" w14:paraId="0000000D">
      <w:pPr>
        <w:spacing w:after="240" w:line="24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Con este tipo de experiencias Fundación Telefónica Movistar continúa como referente destacado en innovación educativa a través de diferentes iniciativas focalizadas en el uso de la tecnología y de la cultura digital.</w:t>
      </w:r>
    </w:p>
    <w:p w:rsidR="00000000" w:rsidDel="00000000" w:rsidP="00000000" w:rsidRDefault="00000000" w:rsidRPr="00000000" w14:paraId="0000000E">
      <w:pPr>
        <w:shd w:fill="ffffff" w:val="clear"/>
        <w:spacing w:after="0" w:line="24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0F">
      <w:pPr>
        <w:shd w:fill="ffffff" w:val="clear"/>
        <w:spacing w:after="0" w:line="240" w:lineRule="auto"/>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0">
      <w:pPr>
        <w:shd w:fill="ffffff" w:val="clear"/>
        <w:spacing w:after="0" w:line="240" w:lineRule="auto"/>
        <w:jc w:val="both"/>
        <w:rPr>
          <w:rFonts w:ascii="Quattrocento Sans" w:cs="Quattrocento Sans" w:eastAsia="Quattrocento Sans" w:hAnsi="Quattrocento Sans"/>
          <w:color w:val="222222"/>
          <w:sz w:val="20"/>
          <w:szCs w:val="20"/>
        </w:rPr>
      </w:pPr>
      <w:r w:rsidDel="00000000" w:rsidR="00000000" w:rsidRPr="00000000">
        <w:rPr>
          <w:rFonts w:ascii="Arial" w:cs="Arial" w:eastAsia="Arial" w:hAnsi="Arial"/>
          <w:b w:val="1"/>
          <w:color w:val="222222"/>
          <w:sz w:val="20"/>
          <w:szCs w:val="20"/>
          <w:rtl w:val="0"/>
        </w:rPr>
        <w:t xml:space="preserve">Acerca de Fundación Telefónica Movistar</w:t>
      </w:r>
      <w:r w:rsidDel="00000000" w:rsidR="00000000" w:rsidRPr="00000000">
        <w:rPr>
          <w:rtl w:val="0"/>
        </w:rPr>
      </w:r>
    </w:p>
    <w:p w:rsidR="00000000" w:rsidDel="00000000" w:rsidP="00000000" w:rsidRDefault="00000000" w:rsidRPr="00000000" w14:paraId="00000011">
      <w:pPr>
        <w:shd w:fill="ffffff" w:val="clear"/>
        <w:spacing w:after="0" w:line="240" w:lineRule="auto"/>
        <w:jc w:val="both"/>
        <w:rPr>
          <w:rFonts w:ascii="Quattrocento Sans" w:cs="Quattrocento Sans" w:eastAsia="Quattrocento Sans" w:hAnsi="Quattrocento Sans"/>
          <w:color w:val="222222"/>
          <w:sz w:val="20"/>
          <w:szCs w:val="20"/>
        </w:rPr>
      </w:pPr>
      <w:r w:rsidDel="00000000" w:rsidR="00000000" w:rsidRPr="00000000">
        <w:rPr>
          <w:rFonts w:ascii="Arial" w:cs="Arial" w:eastAsia="Arial" w:hAnsi="Arial"/>
          <w:color w:val="222222"/>
          <w:sz w:val="20"/>
          <w:szCs w:val="20"/>
          <w:rtl w:val="0"/>
        </w:rPr>
        <w:t xml:space="preserve">Fundación Telefónica Movistar mejora las oportunidades de desarrollo de las personas a través de proyectos educativos, sociales y culturales adaptados al mundo digital. En los últimos seis años más </w:t>
      </w:r>
      <w:r w:rsidDel="00000000" w:rsidR="00000000" w:rsidRPr="00000000">
        <w:rPr>
          <w:rFonts w:ascii="Arial" w:cs="Arial" w:eastAsia="Arial" w:hAnsi="Arial"/>
          <w:sz w:val="20"/>
          <w:szCs w:val="20"/>
          <w:rtl w:val="0"/>
        </w:rPr>
        <w:t xml:space="preserve">de 1.686.155 </w:t>
      </w:r>
      <w:r w:rsidDel="00000000" w:rsidR="00000000" w:rsidRPr="00000000">
        <w:rPr>
          <w:rFonts w:ascii="Arial" w:cs="Arial" w:eastAsia="Arial" w:hAnsi="Arial"/>
          <w:color w:val="222222"/>
          <w:sz w:val="20"/>
          <w:szCs w:val="20"/>
          <w:rtl w:val="0"/>
        </w:rPr>
        <w:t xml:space="preserve">personas de todo el país participaron en los diferentes proyectos y acciones impulsadas desde los programas de Educación, Empleabilidad y Voluntariado Corporativo.</w:t>
      </w:r>
      <w:r w:rsidDel="00000000" w:rsidR="00000000" w:rsidRPr="00000000">
        <w:rPr>
          <w:rtl w:val="0"/>
        </w:rPr>
      </w:r>
    </w:p>
    <w:p w:rsidR="00000000" w:rsidDel="00000000" w:rsidP="00000000" w:rsidRDefault="00000000" w:rsidRPr="00000000" w14:paraId="00000012">
      <w:pPr>
        <w:shd w:fill="ffffff" w:val="clear"/>
        <w:spacing w:after="0" w:line="240" w:lineRule="auto"/>
        <w:jc w:val="both"/>
        <w:rPr>
          <w:rFonts w:ascii="Quattrocento Sans" w:cs="Quattrocento Sans" w:eastAsia="Quattrocento Sans" w:hAnsi="Quattrocento Sans"/>
          <w:color w:val="222222"/>
          <w:sz w:val="20"/>
          <w:szCs w:val="20"/>
        </w:rPr>
      </w:pPr>
      <w:r w:rsidDel="00000000" w:rsidR="00000000" w:rsidRPr="00000000">
        <w:rPr>
          <w:rFonts w:ascii="Arial" w:cs="Arial" w:eastAsia="Arial" w:hAnsi="Arial"/>
          <w:b w:val="1"/>
          <w:color w:val="222222"/>
          <w:sz w:val="20"/>
          <w:szCs w:val="20"/>
          <w:rtl w:val="0"/>
        </w:rPr>
        <w:t xml:space="preserve"> </w:t>
      </w:r>
      <w:r w:rsidDel="00000000" w:rsidR="00000000" w:rsidRPr="00000000">
        <w:rPr>
          <w:rtl w:val="0"/>
        </w:rPr>
      </w:r>
    </w:p>
    <w:p w:rsidR="00000000" w:rsidDel="00000000" w:rsidP="00000000" w:rsidRDefault="00000000" w:rsidRPr="00000000" w14:paraId="00000013">
      <w:pPr>
        <w:shd w:fill="ffffff" w:val="clear"/>
        <w:spacing w:after="0" w:line="240" w:lineRule="auto"/>
        <w:jc w:val="both"/>
        <w:rPr>
          <w:rFonts w:ascii="Quattrocento Sans" w:cs="Quattrocento Sans" w:eastAsia="Quattrocento Sans" w:hAnsi="Quattrocento Sans"/>
          <w:color w:val="222222"/>
          <w:sz w:val="20"/>
          <w:szCs w:val="20"/>
        </w:rPr>
      </w:pPr>
      <w:r w:rsidDel="00000000" w:rsidR="00000000" w:rsidRPr="00000000">
        <w:rPr>
          <w:rFonts w:ascii="Arial" w:cs="Arial" w:eastAsia="Arial" w:hAnsi="Arial"/>
          <w:b w:val="1"/>
          <w:color w:val="222222"/>
          <w:sz w:val="20"/>
          <w:szCs w:val="20"/>
          <w:rtl w:val="0"/>
        </w:rPr>
        <w:t xml:space="preserve">Acera de ProFuturo</w:t>
      </w:r>
      <w:r w:rsidDel="00000000" w:rsidR="00000000" w:rsidRPr="00000000">
        <w:rPr>
          <w:rtl w:val="0"/>
        </w:rPr>
      </w:r>
    </w:p>
    <w:p w:rsidR="00000000" w:rsidDel="00000000" w:rsidP="00000000" w:rsidRDefault="00000000" w:rsidRPr="00000000" w14:paraId="00000014">
      <w:pPr>
        <w:shd w:fill="ffffff" w:val="clear"/>
        <w:spacing w:after="0" w:line="240" w:lineRule="auto"/>
        <w:jc w:val="both"/>
        <w:rPr>
          <w:rFonts w:ascii="Quattrocento Sans" w:cs="Quattrocento Sans" w:eastAsia="Quattrocento Sans" w:hAnsi="Quattrocento Sans"/>
          <w:color w:val="222222"/>
          <w:sz w:val="20"/>
          <w:szCs w:val="20"/>
        </w:rPr>
      </w:pPr>
      <w:r w:rsidDel="00000000" w:rsidR="00000000" w:rsidRPr="00000000">
        <w:rPr>
          <w:rFonts w:ascii="Arial" w:cs="Arial" w:eastAsia="Arial" w:hAnsi="Arial"/>
          <w:color w:val="222222"/>
          <w:sz w:val="20"/>
          <w:szCs w:val="20"/>
          <w:rtl w:val="0"/>
        </w:rPr>
        <w:t xml:space="preserve">Programa de educación digital impulsado por Fundación Telefónica y Fundación ¨la Caixa¨ para reducir la brecha educativa en el mundo mejorando la calidad educativa de millones de niños y niñas que viven en entornos vulnerables de Latinoamérica, el Caribe, África y Asia.</w:t>
      </w:r>
      <w:r w:rsidDel="00000000" w:rsidR="00000000" w:rsidRPr="00000000">
        <w:rPr>
          <w:rtl w:val="0"/>
        </w:rPr>
      </w:r>
    </w:p>
    <w:p w:rsidR="00000000" w:rsidDel="00000000" w:rsidP="00000000" w:rsidRDefault="00000000" w:rsidRPr="00000000" w14:paraId="00000015">
      <w:pPr>
        <w:shd w:fill="ffffff" w:val="clear"/>
        <w:spacing w:after="0" w:line="240" w:lineRule="auto"/>
        <w:jc w:val="both"/>
        <w:rPr>
          <w:rFonts w:ascii="Quattrocento Sans" w:cs="Quattrocento Sans" w:eastAsia="Quattrocento Sans" w:hAnsi="Quattrocento Sans"/>
          <w:color w:val="222222"/>
          <w:sz w:val="20"/>
          <w:szCs w:val="20"/>
        </w:rPr>
      </w:pPr>
      <w:r w:rsidDel="00000000" w:rsidR="00000000" w:rsidRPr="00000000">
        <w:rPr>
          <w:rFonts w:ascii="Arial" w:cs="Arial" w:eastAsia="Arial" w:hAnsi="Arial"/>
          <w:color w:val="222222"/>
          <w:sz w:val="20"/>
          <w:szCs w:val="20"/>
          <w:rtl w:val="0"/>
        </w:rPr>
        <w:t xml:space="preserve">Para ello, nos apoyamos en la tecnología, que nos permite llegar más lejos y a más personas, y usamos experiencias digitales de enseñanza-aprendizaje innovadoras para potenciar el desarrollo de competencias digitales que permitan a docentes, alumnos y directores de escuelas hacer frente a los retos del siglo XXI.</w:t>
      </w:r>
      <w:r w:rsidDel="00000000" w:rsidR="00000000" w:rsidRPr="00000000">
        <w:rPr>
          <w:rtl w:val="0"/>
        </w:rPr>
      </w:r>
    </w:p>
    <w:p w:rsidR="00000000" w:rsidDel="00000000" w:rsidP="00000000" w:rsidRDefault="00000000" w:rsidRPr="00000000" w14:paraId="00000016">
      <w:pPr>
        <w:shd w:fill="ffffff" w:val="clear"/>
        <w:spacing w:after="0" w:line="240" w:lineRule="auto"/>
        <w:jc w:val="both"/>
        <w:rPr>
          <w:rFonts w:ascii="Quattrocento Sans" w:cs="Quattrocento Sans" w:eastAsia="Quattrocento Sans" w:hAnsi="Quattrocento Sans"/>
          <w:color w:val="222222"/>
          <w:sz w:val="20"/>
          <w:szCs w:val="20"/>
        </w:rPr>
      </w:pPr>
      <w:r w:rsidDel="00000000" w:rsidR="00000000" w:rsidRPr="00000000">
        <w:rPr>
          <w:rFonts w:ascii="Arial" w:cs="Arial" w:eastAsia="Arial" w:hAnsi="Arial"/>
          <w:color w:val="222222"/>
          <w:sz w:val="20"/>
          <w:szCs w:val="20"/>
          <w:rtl w:val="0"/>
        </w:rPr>
        <w:t xml:space="preserve">Detrás de esta ambiciosa iniciativa se encuentran dos grandes instituciones, Fundación Telefónica y Fundación “la Caixa”, que en 2016 decidieron sumar sus fuerzas y su bagaje en el mundo de la educación para conseguir que todos los niños y niñas tengan igualdad de oportunidades independientemente del lugar donde nazcan.</w:t>
      </w:r>
      <w:r w:rsidDel="00000000" w:rsidR="00000000" w:rsidRPr="00000000">
        <w:rPr>
          <w:rtl w:val="0"/>
        </w:rPr>
      </w:r>
    </w:p>
    <w:p w:rsidR="00000000" w:rsidDel="00000000" w:rsidP="00000000" w:rsidRDefault="00000000" w:rsidRPr="00000000" w14:paraId="00000017">
      <w:pPr>
        <w:shd w:fill="ffffff" w:val="clear"/>
        <w:spacing w:after="0" w:line="240" w:lineRule="auto"/>
        <w:jc w:val="both"/>
        <w:rPr>
          <w:rFonts w:ascii="Quattrocento Sans" w:cs="Quattrocento Sans" w:eastAsia="Quattrocento Sans" w:hAnsi="Quattrocento Sans"/>
          <w:color w:val="222222"/>
          <w:sz w:val="20"/>
          <w:szCs w:val="20"/>
        </w:rPr>
      </w:pPr>
      <w:r w:rsidDel="00000000" w:rsidR="00000000" w:rsidRPr="00000000">
        <w:rPr>
          <w:rFonts w:ascii="Arial" w:cs="Arial" w:eastAsia="Arial" w:hAnsi="Arial"/>
          <w:color w:val="222222"/>
          <w:sz w:val="20"/>
          <w:szCs w:val="20"/>
          <w:rtl w:val="0"/>
        </w:rPr>
        <w:t xml:space="preserve">En línea con el objetivo 4 de la Agenda 2030 de Desarrollo Sostenible de Naciones Unidas (ODS4), aspiramos a mejorar la educación de millones de niños y niñas a través de la tecnología, convirtiéndose en un referente mundial de la transformación e innovación educativa.</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rial Black">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widowControl w:val="0"/>
      <w:spacing w:after="0" w:line="276" w:lineRule="auto"/>
      <w:rPr>
        <w:rFonts w:ascii="Arial" w:cs="Arial" w:eastAsia="Arial" w:hAnsi="Arial"/>
      </w:rPr>
    </w:pPr>
    <w:r w:rsidDel="00000000" w:rsidR="00000000" w:rsidRPr="00000000">
      <w:rPr>
        <w:rtl w:val="0"/>
      </w:rPr>
    </w:r>
  </w:p>
  <w:tbl>
    <w:tblPr>
      <w:tblStyle w:val="Table1"/>
      <w:tblW w:w="9885.0" w:type="dxa"/>
      <w:jc w:val="center"/>
      <w:tblLayout w:type="fixed"/>
      <w:tblLook w:val="0400"/>
    </w:tblPr>
    <w:tblGrid>
      <w:gridCol w:w="9885"/>
      <w:tblGridChange w:id="0">
        <w:tblGrid>
          <w:gridCol w:w="9885"/>
        </w:tblGrid>
      </w:tblGridChange>
    </w:tblGrid>
    <w:tr>
      <w:trPr>
        <w:cantSplit w:val="0"/>
        <w:trHeight w:val="1193" w:hRule="atLeast"/>
        <w:tblHeader w:val="0"/>
      </w:trPr>
      <w:tc>
        <w:tcPr>
          <w:shd w:fill="0b2739" w:val="clear"/>
          <w:vAlign w:val="center"/>
        </w:tcPr>
        <w:p w:rsidR="00000000" w:rsidDel="00000000" w:rsidP="00000000" w:rsidRDefault="00000000" w:rsidRPr="00000000" w14:paraId="0000001B">
          <w:pPr>
            <w:spacing w:after="0" w:line="240" w:lineRule="auto"/>
            <w:rPr>
              <w:rFonts w:ascii="Helvetica Neue" w:cs="Helvetica Neue" w:eastAsia="Helvetica Neue" w:hAnsi="Helvetica Neue"/>
              <w:sz w:val="24"/>
              <w:szCs w:val="24"/>
            </w:rPr>
          </w:pPr>
          <w:r w:rsidDel="00000000" w:rsidR="00000000" w:rsidRPr="00000000">
            <w:rPr>
              <w:rFonts w:ascii="Arial" w:cs="Arial" w:eastAsia="Arial" w:hAnsi="Arial"/>
              <w:sz w:val="24"/>
              <w:szCs w:val="24"/>
            </w:rPr>
            <w:drawing>
              <wp:inline distB="0" distT="0" distL="0" distR="0">
                <wp:extent cx="2076450" cy="447675"/>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76450" cy="4476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C">
    <w:pPr>
      <w:spacing w:after="0" w:line="240" w:lineRule="auto"/>
      <w:jc w:val="center"/>
      <w:rPr/>
    </w:pPr>
    <w:r w:rsidDel="00000000" w:rsidR="00000000" w:rsidRPr="00000000">
      <w:rPr>
        <w:rtl w:val="0"/>
      </w:rPr>
    </w:r>
  </w:p>
  <w:p w:rsidR="00000000" w:rsidDel="00000000" w:rsidP="00000000" w:rsidRDefault="00000000" w:rsidRPr="00000000" w14:paraId="0000001D">
    <w:pPr>
      <w:spacing w:after="0" w:line="24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NormalWeb">
    <w:name w:val="Normal (Web)"/>
    <w:basedOn w:val="Normal"/>
    <w:uiPriority w:val="99"/>
    <w:semiHidden w:val="1"/>
    <w:unhideWhenUsed w:val="1"/>
    <w:rsid w:val="00A86071"/>
    <w:pPr>
      <w:spacing w:after="100" w:afterAutospacing="1" w:before="100" w:beforeAutospacing="1" w:line="240" w:lineRule="auto"/>
    </w:pPr>
    <w:rPr>
      <w:rFonts w:ascii="Times New Roman" w:cs="Times New Roman" w:eastAsia="Times New Roman" w:hAnsi="Times New Roman"/>
      <w:sz w:val="24"/>
      <w:szCs w:val="24"/>
    </w:rPr>
  </w:style>
  <w:style w:type="character" w:styleId="Textoennegrita">
    <w:name w:val="Strong"/>
    <w:basedOn w:val="Fuentedeprrafopredeter"/>
    <w:uiPriority w:val="22"/>
    <w:qFormat w:val="1"/>
    <w:rsid w:val="00A86071"/>
    <w:rPr>
      <w:b w:val="1"/>
      <w:bCs w:val="1"/>
    </w:rPr>
  </w:style>
  <w:style w:type="character" w:styleId="Hipervnculo">
    <w:name w:val="Hyperlink"/>
    <w:basedOn w:val="Fuentedeprrafopredeter"/>
    <w:uiPriority w:val="99"/>
    <w:unhideWhenUsed w:val="1"/>
    <w:rsid w:val="00A86071"/>
    <w:rPr>
      <w:color w:val="0000ff"/>
      <w:u w:val="single"/>
    </w:rPr>
  </w:style>
  <w:style w:type="character" w:styleId="UnresolvedMention" w:customStyle="1">
    <w:name w:val="Unresolved Mention"/>
    <w:basedOn w:val="Fuentedeprrafopredeter"/>
    <w:uiPriority w:val="99"/>
    <w:semiHidden w:val="1"/>
    <w:unhideWhenUsed w:val="1"/>
    <w:rsid w:val="005F7DBC"/>
    <w:rPr>
      <w:color w:val="605e5c"/>
      <w:shd w:color="auto" w:fill="e1dfdd" w:val="clear"/>
    </w:rPr>
  </w:style>
  <w:style w:type="paragraph" w:styleId="Prrafodelista">
    <w:name w:val="List Paragraph"/>
    <w:basedOn w:val="Normal"/>
    <w:uiPriority w:val="34"/>
    <w:qFormat w:val="1"/>
    <w:rsid w:val="005F6F0B"/>
    <w:pPr>
      <w:ind w:left="720"/>
      <w:contextualSpacing w:val="1"/>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Pr>
  </w:style>
  <w:style w:type="table" w:styleId="a0" w:customStyle="1">
    <w:basedOn w:val="TableNormal1"/>
    <w:tblPr>
      <w:tblStyleRowBandSize w:val="1"/>
      <w:tblStyleColBandSize w:val="1"/>
    </w:tblPr>
  </w:style>
  <w:style w:type="table" w:styleId="a1" w:customStyle="1">
    <w:basedOn w:val="TableNormal1"/>
    <w:tblPr>
      <w:tblStyleRowBandSize w:val="1"/>
      <w:tblStyleColBandSize w:val="1"/>
    </w:tblPr>
  </w:style>
  <w:style w:type="paragraph" w:styleId="Encabezado">
    <w:name w:val="header"/>
    <w:basedOn w:val="Normal"/>
    <w:link w:val="EncabezadoCar"/>
    <w:uiPriority w:val="99"/>
    <w:unhideWhenUsed w:val="1"/>
    <w:rsid w:val="00004DB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04DB4"/>
  </w:style>
  <w:style w:type="paragraph" w:styleId="Piedepgina">
    <w:name w:val="footer"/>
    <w:basedOn w:val="Normal"/>
    <w:link w:val="PiedepginaCar"/>
    <w:uiPriority w:val="99"/>
    <w:unhideWhenUsed w:val="1"/>
    <w:rsid w:val="00004DB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04DB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office.com/pages/responsepage.aspx?id=DmBElwQ-Lkm6oSXsJFxvEFxnDrs69HROvwS31MhVznhUMkNVVFdKN1pIN1pGUVVaS01MMlc3MjhJRi4u" TargetMode="External"/><Relationship Id="rId8" Type="http://schemas.openxmlformats.org/officeDocument/2006/relationships/hyperlink" Target="http://www.fundaciontelefonica.com.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9" Type="http://schemas.openxmlformats.org/officeDocument/2006/relationships/font" Target="fonts/ArialBlack-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ipx675d5hpN8mBWYhPwIf+uTvQ==">CgMxLjAyCGguZ2pkZ3hzOAByITF0SHp6ODhJQVdrLTFEVjBWYWRNc1RQcWZ0QlFFX3BJMg==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2022-02-15T15:44:00Z</dcterms:created>
  <dc:creator>Lautaro Abal</dc:creator>
</cp:coreProperties>
</file>