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-10949</wp:posOffset>
                </wp:positionH>
                <wp:positionV relativeFrom="page">
                  <wp:posOffset>4445</wp:posOffset>
                </wp:positionV>
                <wp:extent cx="7581900" cy="986790"/>
                <wp:effectExtent b="0" l="0" r="0" t="0"/>
                <wp:wrapNone/>
                <wp:docPr id="16304185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55050" y="3286600"/>
                          <a:ext cx="7581900" cy="986790"/>
                          <a:chOff x="1555050" y="3286600"/>
                          <a:chExt cx="7581900" cy="986800"/>
                        </a:xfrm>
                      </wpg:grpSpPr>
                      <wpg:grpSp>
                        <wpg:cNvGrpSpPr/>
                        <wpg:grpSpPr>
                          <a:xfrm>
                            <a:off x="1555050" y="3286605"/>
                            <a:ext cx="7581900" cy="986790"/>
                            <a:chOff x="0" y="0"/>
                            <a:chExt cx="7581900" cy="98679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81900" cy="98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Icon&#10;&#10;Description automatically generated"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75819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62488" y="433388"/>
                              <a:ext cx="1924050" cy="205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-10949</wp:posOffset>
                </wp:positionH>
                <wp:positionV relativeFrom="page">
                  <wp:posOffset>4445</wp:posOffset>
                </wp:positionV>
                <wp:extent cx="7581900" cy="986790"/>
                <wp:effectExtent b="0" l="0" r="0" t="0"/>
                <wp:wrapNone/>
                <wp:docPr id="16304185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0" cy="986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color w:val="44546a"/>
          <w:sz w:val="20"/>
          <w:szCs w:val="20"/>
        </w:rPr>
      </w:pPr>
      <w:r w:rsidDel="00000000" w:rsidR="00000000" w:rsidRPr="00000000">
        <w:rPr>
          <w:b w:val="1"/>
          <w:color w:val="0066ff"/>
          <w:sz w:val="36"/>
          <w:szCs w:val="36"/>
          <w:rtl w:val="0"/>
        </w:rPr>
        <w:t xml:space="preserve">Movistar Argentina realizó con éxito las primeras pruebas del servicio de Starlink sobre Órbita Baja en la Antártida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de marzo de 2024.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En el marco del acuerdo entre Telefónica Hispam y Starlink, el equipo del área de Red de Movistar llevó adelante diversos ensayos de conectividad a través de tecnología satelital, con el objetivo de validar la eficiencia y estabilidad de esta modalidad e </w:t>
      </w:r>
      <w:r w:rsidDel="00000000" w:rsidR="00000000" w:rsidRPr="00000000">
        <w:rPr>
          <w:rFonts w:ascii="Arial" w:cs="Arial" w:eastAsia="Arial" w:hAnsi="Arial"/>
          <w:b w:val="1"/>
          <w:color w:val="44546a"/>
          <w:rtl w:val="0"/>
        </w:rPr>
        <w:t xml:space="preserve">incluirla en el portfolio de servicios </w:t>
      </w: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Argentina en las próximas semanas.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Dentro de las pruebas de concepto llevadas a cabo en distintos puntos, particularmente se destacan las realizadas en Base Marambio, territorio argentino en el continente blanco.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En línea con el acuerdo ya mencionado en los países de habla hispana donde opera Movistar, Perú, Chile, Colombia, Ecuador y México ofrecen hoy a sus clientes servicios satelitales brindando soluciones innovadoras, independientemente de las zonas geográficas en las que se encuentren.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Fonts w:ascii="Arial" w:cs="Arial" w:eastAsia="Arial" w:hAnsi="Arial"/>
          <w:color w:val="44546a"/>
          <w:rtl w:val="0"/>
        </w:rPr>
        <w:t xml:space="preserve">En el caso de Movistar Argentina, próximamente comenzará la comercialización de esta nueva tecnología para los clientes del segmento Pymes y Empresas, acercando distancias, contribuyendo a una mayor productividad y generando una propuesta de valor divergente e innovadora dentro de la industria satelital.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18"/>
          <w:szCs w:val="18"/>
          <w:rtl w:val="0"/>
        </w:rPr>
        <w:t xml:space="preserve">Acerca de Telefónica Movistar Argentina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18"/>
          <w:szCs w:val="18"/>
          <w:rtl w:val="0"/>
        </w:rPr>
        <w:t xml:space="preserve">Telefónica es uno de los operadores de comunicaciones integradas más grandes del mundo. Tiene presencia en 14 países.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18"/>
          <w:szCs w:val="18"/>
          <w:rtl w:val="0"/>
        </w:rPr>
        <w:t xml:space="preserve">En Argentina, opera bajo la marca comercial Movistar.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18"/>
          <w:szCs w:val="18"/>
          <w:rtl w:val="0"/>
        </w:rPr>
        <w:t xml:space="preserve">Movistar Argentina cuenta con más de 21 millones de accesos de clientes, los cuales incluyen líneas y conectividad fija y móvil, y una red de fibra óptica de transporte con una longitud de más de 15.000 kilómetros, además de servicio de televisión.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18"/>
          <w:szCs w:val="18"/>
          <w:rtl w:val="0"/>
        </w:rPr>
        <w:t xml:space="preserve">La compañía ofrece los medios para facilitar la comunicación entre las personas, proporcionándoles la tecnología más segura y de vanguardia, para que vivan mejor y consigan todo lo que se propongan.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44546a"/>
        </w:rPr>
      </w:pPr>
      <w:r w:rsidDel="00000000" w:rsidR="00000000" w:rsidRPr="00000000">
        <w:rPr>
          <w:rFonts w:ascii="Arial" w:cs="Arial" w:eastAsia="Arial" w:hAnsi="Arial"/>
          <w:color w:val="44546a"/>
          <w:sz w:val="18"/>
          <w:szCs w:val="18"/>
          <w:rtl w:val="0"/>
        </w:rPr>
        <w:t xml:space="preserve">Bajo una estrategia de inversión constante y creciente, Movistar es uno de los principales actores del mercado en el desarrollo de las redes de comunicaciones 4G y FTTH para llevarle a los clientes nuevas y mejores experiencias de conectividad.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  <w:rtl w:val="0"/>
        </w:rPr>
        <w:t xml:space="preserve">Contactos de prensa: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66ff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hyperlink r:id="rId10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18"/>
            <w:szCs w:val="18"/>
            <w:u w:val="single"/>
            <w:rtl w:val="0"/>
          </w:rPr>
          <w:t xml:space="preserve">maria.leone@telefonica.com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hyperlink r:id="rId11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18"/>
            <w:szCs w:val="18"/>
            <w:u w:val="single"/>
            <w:rtl w:val="0"/>
          </w:rPr>
          <w:t xml:space="preserve">labal@llyc.global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hyperlink r:id="rId12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18"/>
            <w:szCs w:val="18"/>
            <w:u w:val="single"/>
            <w:rtl w:val="0"/>
          </w:rPr>
          <w:t xml:space="preserve">valentina.pacheco@llyc.global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hyperlink r:id="rId13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18"/>
            <w:szCs w:val="18"/>
            <w:u w:val="single"/>
            <w:rtl w:val="0"/>
          </w:rPr>
          <w:t xml:space="preserve">antonella.piquinela@llyc.global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c2c9"/>
          <w:sz w:val="14"/>
          <w:szCs w:val="1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6304185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630418526" name="image1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630418528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PUBLICO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PUBLIC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descr="***Este documento está clasificado como PUBLICO por TELEFÓNICA.&#10;***This document is classified as PUBLIC by TELEFÓNICA." id="1630418528" name="image3.png"/>
              <a:graphic>
                <a:graphicData uri="http://schemas.openxmlformats.org/drawingml/2006/picture">
                  <pic:pic>
                    <pic:nvPicPr>
                      <pic:cNvPr descr="***Este documento está clasificado como PUBLICO por TELEFÓNICA.&#10;***This document is classified as PUBLIC by TELEFÓNICA.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link w:val="Ttulo2Car"/>
    <w:uiPriority w:val="9"/>
    <w:qFormat w:val="1"/>
    <w:rsid w:val="003920C8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3920C8"/>
    <w:pPr>
      <w:spacing w:after="0" w:line="240" w:lineRule="auto"/>
    </w:pPr>
    <w:rPr>
      <w:rFonts w:ascii="Arial" w:cs="Arial" w:eastAsia="Arial" w:hAnsi="Arial"/>
      <w:kern w:val="0"/>
      <w:lang w:eastAsia="es-AR" w:val="es"/>
    </w:rPr>
  </w:style>
  <w:style w:type="paragraph" w:styleId="paragraph" w:customStyle="1">
    <w:name w:val="paragraph"/>
    <w:basedOn w:val="Normal"/>
    <w:rsid w:val="003920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PE" w:val="es-PE"/>
    </w:rPr>
  </w:style>
  <w:style w:type="character" w:styleId="eop" w:customStyle="1">
    <w:name w:val="eop"/>
    <w:basedOn w:val="Fuentedeprrafopredeter"/>
    <w:rsid w:val="003920C8"/>
  </w:style>
  <w:style w:type="character" w:styleId="normaltextrun" w:customStyle="1">
    <w:name w:val="normaltextrun"/>
    <w:basedOn w:val="Fuentedeprrafopredeter"/>
    <w:rsid w:val="003920C8"/>
  </w:style>
  <w:style w:type="character" w:styleId="Ttulo2Car" w:customStyle="1">
    <w:name w:val="Título 2 Car"/>
    <w:basedOn w:val="Fuentedeprrafopredeter"/>
    <w:link w:val="Ttulo2"/>
    <w:uiPriority w:val="9"/>
    <w:rsid w:val="003920C8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 w:val="1"/>
    <w:unhideWhenUsed w:val="1"/>
    <w:rsid w:val="003920C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3920C8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 w:val="1"/>
    <w:rsid w:val="003920C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20C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bal@llyc.global" TargetMode="External"/><Relationship Id="rId10" Type="http://schemas.openxmlformats.org/officeDocument/2006/relationships/hyperlink" Target="mailto:maria.leone@telefonica.com" TargetMode="External"/><Relationship Id="rId13" Type="http://schemas.openxmlformats.org/officeDocument/2006/relationships/hyperlink" Target="mailto:antonella.piquinela@llyc.global" TargetMode="External"/><Relationship Id="rId12" Type="http://schemas.openxmlformats.org/officeDocument/2006/relationships/hyperlink" Target="mailto:valentina.pacheco@llyc.glob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49+zyi4Ktu7fpGb0728fBOU4w==">CgMxLjA4AHIhMWdyRkJCbEhOVnlEcnZiUENVbDRrZHN4VTJvUFBIVmJY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2024-02-23T18:54:00Z</dcterms:created>
  <dc:creator>Aonn, Aldana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5983f812,485b7e6b,16c254a0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SetDate">
    <vt:lpwstr>2024-02-26T15:40:36Z</vt:lpwstr>
  </property>
  <property fmtid="{D5CDD505-2E9C-101B-9397-08002B2CF9AE}" pid="7" name="MSIP_Label_e65bd4d2-aa7c-445f-9ef8-222ebb1d2b43_Method">
    <vt:lpwstr>Privileged</vt:lpwstr>
  </property>
  <property fmtid="{D5CDD505-2E9C-101B-9397-08002B2CF9AE}" pid="8" name="MSIP_Label_e65bd4d2-aa7c-445f-9ef8-222ebb1d2b43_Name">
    <vt:lpwstr>e65bd4d2-aa7c-445f-9ef8-222ebb1d2b43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SIP_Label_e65bd4d2-aa7c-445f-9ef8-222ebb1d2b43_ActionId">
    <vt:lpwstr>be70770a-ec94-4192-951f-dd7244cc76d0</vt:lpwstr>
  </property>
  <property fmtid="{D5CDD505-2E9C-101B-9397-08002B2CF9AE}" pid="11" name="MSIP_Label_e65bd4d2-aa7c-445f-9ef8-222ebb1d2b43_ContentBits">
    <vt:lpwstr>2</vt:lpwstr>
  </property>
</Properties>
</file>